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241F" w14:textId="4D5FD215" w:rsidR="00DB171E" w:rsidRDefault="004D2195" w:rsidP="00DB171E">
      <w:pPr>
        <w:pStyle w:val="berschrift1"/>
        <w:spacing w:after="240"/>
        <w:jc w:val="center"/>
        <w:rPr>
          <w:rFonts w:ascii="Arial" w:hAnsi="Arial" w:cs="Arial"/>
          <w:b/>
          <w:color w:val="auto"/>
          <w:sz w:val="16"/>
          <w:szCs w:val="16"/>
        </w:rPr>
      </w:pPr>
      <w:r w:rsidRPr="00DB171E">
        <w:rPr>
          <w:rFonts w:asciiTheme="minorHAnsi" w:hAnsiTheme="minorHAnsi" w:cstheme="minorHAnsi"/>
          <w:b/>
          <w:color w:val="auto"/>
          <w:sz w:val="28"/>
          <w:szCs w:val="28"/>
        </w:rPr>
        <w:t>GoBD-Schnellcheck</w:t>
      </w:r>
      <w:r w:rsidR="00F9412B">
        <w:rPr>
          <w:rFonts w:ascii="Arial" w:hAnsi="Arial" w:cs="Arial"/>
          <w:b/>
          <w:color w:val="auto"/>
          <w:sz w:val="28"/>
          <w:szCs w:val="28"/>
        </w:rPr>
        <w:br/>
      </w:r>
    </w:p>
    <w:p w14:paraId="198E4D4D" w14:textId="77777777" w:rsidR="00530D27" w:rsidRPr="00530D27" w:rsidRDefault="00530D27" w:rsidP="00530D27"/>
    <w:tbl>
      <w:tblPr>
        <w:tblW w:w="9072" w:type="dxa"/>
        <w:tblInd w:w="108" w:type="dxa"/>
        <w:shd w:val="clear" w:color="auto" w:fill="D9D9D9"/>
        <w:tblLook w:val="04A0" w:firstRow="1" w:lastRow="0" w:firstColumn="1" w:lastColumn="0" w:noHBand="0" w:noVBand="1"/>
      </w:tblPr>
      <w:tblGrid>
        <w:gridCol w:w="9072"/>
      </w:tblGrid>
      <w:tr w:rsidR="00530D27" w:rsidRPr="005E540C" w14:paraId="72E1938A" w14:textId="77777777" w:rsidTr="000936B4">
        <w:tc>
          <w:tcPr>
            <w:tcW w:w="9072" w:type="dxa"/>
            <w:shd w:val="clear" w:color="auto" w:fill="D9D9D9"/>
          </w:tcPr>
          <w:p w14:paraId="17CB40B8" w14:textId="6E3B7720" w:rsidR="00530D27" w:rsidRPr="005E540C" w:rsidRDefault="00530D27" w:rsidP="000936B4">
            <w:pPr>
              <w:rPr>
                <w:rFonts w:ascii="Calibri" w:hAnsi="Calibri" w:cs="Calibri"/>
                <w:iCs/>
              </w:rPr>
            </w:pPr>
            <w:bookmarkStart w:id="0" w:name="_Hlk43798104"/>
            <w:r w:rsidRPr="005E540C">
              <w:rPr>
                <w:rFonts w:ascii="Calibri" w:hAnsi="Calibri" w:cs="Calibri"/>
                <w:iCs/>
              </w:rPr>
              <w:br/>
              <w:t>Stand</w:t>
            </w:r>
            <w:r>
              <w:rPr>
                <w:rFonts w:ascii="Calibri" w:hAnsi="Calibri" w:cs="Calibri"/>
                <w:iCs/>
              </w:rPr>
              <w:t xml:space="preserve"> </w:t>
            </w:r>
            <w:r>
              <w:rPr>
                <w:rFonts w:ascii="Calibri" w:hAnsi="Calibri" w:cs="Calibri"/>
                <w:iCs/>
              </w:rPr>
              <w:t>Mai</w:t>
            </w:r>
            <w:r>
              <w:rPr>
                <w:rFonts w:ascii="Calibri" w:hAnsi="Calibri" w:cs="Calibri"/>
                <w:iCs/>
              </w:rPr>
              <w:t xml:space="preserve"> 2021</w:t>
            </w:r>
            <w:r w:rsidRPr="005E540C">
              <w:rPr>
                <w:rFonts w:ascii="Calibri" w:hAnsi="Calibri" w:cs="Calibri"/>
                <w:iCs/>
              </w:rPr>
              <w:t xml:space="preserve"> </w:t>
            </w:r>
          </w:p>
          <w:p w14:paraId="332DC2BC" w14:textId="77777777" w:rsidR="00530D27" w:rsidRPr="005E540C" w:rsidRDefault="00530D27" w:rsidP="000936B4">
            <w:pPr>
              <w:rPr>
                <w:rFonts w:ascii="Calibri" w:hAnsi="Calibri" w:cs="Calibri"/>
                <w:b/>
                <w:bCs/>
                <w:iCs/>
                <w:u w:val="single"/>
              </w:rPr>
            </w:pPr>
            <w:r w:rsidRPr="005E540C">
              <w:rPr>
                <w:rFonts w:ascii="Calibri" w:hAnsi="Calibri" w:cs="Calibri"/>
                <w:b/>
                <w:bCs/>
                <w:iCs/>
                <w:u w:val="single"/>
              </w:rPr>
              <w:t>Einführung:</w:t>
            </w:r>
          </w:p>
          <w:p w14:paraId="30C0631E" w14:textId="5C4CFCF3" w:rsidR="00530D27" w:rsidRPr="00530D27" w:rsidRDefault="00530D27" w:rsidP="00530D27">
            <w:pPr>
              <w:pStyle w:val="Endnotentext"/>
              <w:rPr>
                <w:rFonts w:ascii="Calibri" w:hAnsi="Calibri" w:cs="Calibri"/>
                <w:color w:val="000000"/>
                <w:sz w:val="22"/>
                <w:szCs w:val="22"/>
              </w:rPr>
            </w:pPr>
            <w:r w:rsidRPr="00530D27">
              <w:rPr>
                <w:rFonts w:ascii="Calibri" w:hAnsi="Calibri" w:cs="Calibri"/>
                <w:color w:val="000000"/>
                <w:sz w:val="22"/>
                <w:szCs w:val="22"/>
              </w:rPr>
              <w:t xml:space="preserve">Mit Hilfe des </w:t>
            </w:r>
            <w:proofErr w:type="spellStart"/>
            <w:r w:rsidRPr="00530D27">
              <w:rPr>
                <w:rFonts w:ascii="Calibri" w:hAnsi="Calibri" w:cs="Calibri"/>
                <w:color w:val="000000"/>
                <w:sz w:val="22"/>
                <w:szCs w:val="22"/>
              </w:rPr>
              <w:t>GoBD</w:t>
            </w:r>
            <w:proofErr w:type="spellEnd"/>
            <w:r w:rsidRPr="00530D27">
              <w:rPr>
                <w:rFonts w:ascii="Calibri" w:hAnsi="Calibri" w:cs="Calibri"/>
                <w:color w:val="000000"/>
                <w:sz w:val="22"/>
                <w:szCs w:val="22"/>
              </w:rPr>
              <w:t>-Schnellchecks k</w:t>
            </w:r>
            <w:r>
              <w:rPr>
                <w:rFonts w:ascii="Calibri" w:hAnsi="Calibri" w:cs="Calibri"/>
                <w:color w:val="000000"/>
                <w:sz w:val="22"/>
                <w:szCs w:val="22"/>
              </w:rPr>
              <w:t>ann</w:t>
            </w:r>
            <w:r w:rsidRPr="00530D27">
              <w:rPr>
                <w:rFonts w:ascii="Calibri" w:hAnsi="Calibri" w:cs="Calibri"/>
                <w:color w:val="000000"/>
                <w:sz w:val="22"/>
                <w:szCs w:val="22"/>
              </w:rPr>
              <w:t xml:space="preserve"> in</w:t>
            </w:r>
            <w:r>
              <w:rPr>
                <w:rFonts w:ascii="Calibri" w:hAnsi="Calibri" w:cs="Calibri"/>
                <w:color w:val="000000"/>
                <w:sz w:val="22"/>
                <w:szCs w:val="22"/>
              </w:rPr>
              <w:t xml:space="preserve"> kürzester Zeit geklärt werden</w:t>
            </w:r>
            <w:r w:rsidRPr="00530D27">
              <w:rPr>
                <w:rFonts w:ascii="Calibri" w:hAnsi="Calibri" w:cs="Calibri"/>
                <w:color w:val="000000"/>
                <w:sz w:val="22"/>
                <w:szCs w:val="22"/>
              </w:rPr>
              <w:t xml:space="preserve">, an welchen Stellen </w:t>
            </w:r>
            <w:r>
              <w:rPr>
                <w:rFonts w:ascii="Calibri" w:hAnsi="Calibri" w:cs="Calibri"/>
                <w:color w:val="000000"/>
                <w:sz w:val="22"/>
                <w:szCs w:val="22"/>
              </w:rPr>
              <w:t>eines Unternehmens</w:t>
            </w:r>
            <w:r w:rsidRPr="00530D27">
              <w:rPr>
                <w:rFonts w:ascii="Calibri" w:hAnsi="Calibri" w:cs="Calibri"/>
                <w:color w:val="000000"/>
                <w:sz w:val="22"/>
                <w:szCs w:val="22"/>
              </w:rPr>
              <w:t xml:space="preserve"> noch Handlungsbedarf bei der Umsetzung der „Grundsätze ordnungsmäßiger Führung und Aufbewahrung von Büchern, Aufzeichnungen und Unterlagen sowie zum Datenzugriff durch die Finanzbehörden“ (</w:t>
            </w:r>
            <w:proofErr w:type="spellStart"/>
            <w:r w:rsidRPr="00530D27">
              <w:rPr>
                <w:rFonts w:ascii="Calibri" w:hAnsi="Calibri" w:cs="Calibri"/>
                <w:color w:val="000000"/>
                <w:sz w:val="22"/>
                <w:szCs w:val="22"/>
              </w:rPr>
              <w:t>GoBD</w:t>
            </w:r>
            <w:proofErr w:type="spellEnd"/>
            <w:r w:rsidRPr="00530D27">
              <w:rPr>
                <w:rFonts w:ascii="Calibri" w:hAnsi="Calibri" w:cs="Calibri"/>
                <w:color w:val="000000"/>
                <w:sz w:val="22"/>
                <w:szCs w:val="22"/>
              </w:rPr>
              <w:t>) besteht.</w:t>
            </w:r>
          </w:p>
          <w:p w14:paraId="1E0B8664" w14:textId="77777777" w:rsidR="00530D27" w:rsidRDefault="00530D27" w:rsidP="00530D27">
            <w:pPr>
              <w:pStyle w:val="Endnotentext"/>
              <w:rPr>
                <w:rFonts w:ascii="Calibri" w:hAnsi="Calibri" w:cs="Calibri"/>
                <w:color w:val="000000"/>
                <w:sz w:val="22"/>
                <w:szCs w:val="22"/>
              </w:rPr>
            </w:pPr>
          </w:p>
          <w:p w14:paraId="5FA7507C" w14:textId="1090CCBF" w:rsidR="00530D27" w:rsidRPr="00530D27" w:rsidRDefault="00530D27" w:rsidP="00530D27">
            <w:pPr>
              <w:pStyle w:val="Endnotentext"/>
              <w:rPr>
                <w:rFonts w:ascii="Calibri" w:hAnsi="Calibri" w:cs="Calibri"/>
                <w:color w:val="000000"/>
                <w:sz w:val="22"/>
                <w:szCs w:val="22"/>
              </w:rPr>
            </w:pPr>
            <w:bookmarkStart w:id="1" w:name="_GoBack"/>
            <w:bookmarkEnd w:id="1"/>
            <w:r w:rsidRPr="00530D27">
              <w:rPr>
                <w:rFonts w:ascii="Calibri" w:hAnsi="Calibri" w:cs="Calibri"/>
                <w:color w:val="000000"/>
                <w:sz w:val="22"/>
                <w:szCs w:val="22"/>
              </w:rPr>
              <w:t>Jeder der zwölf Prüfungspunkte wird im Anschluss an die Checkliste erläutert.</w:t>
            </w:r>
          </w:p>
          <w:p w14:paraId="30C7960A" w14:textId="77777777" w:rsidR="00530D27" w:rsidRPr="00530D27" w:rsidRDefault="00530D27" w:rsidP="00530D27">
            <w:pPr>
              <w:pStyle w:val="Endnotentext"/>
              <w:rPr>
                <w:rFonts w:ascii="Calibri" w:hAnsi="Calibri" w:cs="Calibri"/>
                <w:color w:val="000000"/>
                <w:sz w:val="22"/>
                <w:szCs w:val="22"/>
              </w:rPr>
            </w:pPr>
          </w:p>
          <w:p w14:paraId="54343BA9" w14:textId="3B2F7D59" w:rsidR="00530D27" w:rsidRPr="007E1413" w:rsidRDefault="00530D27" w:rsidP="000936B4">
            <w:pPr>
              <w:pStyle w:val="Endnotentext"/>
              <w:rPr>
                <w:rFonts w:ascii="Calibri" w:hAnsi="Calibri" w:cs="Calibri"/>
                <w:color w:val="000000"/>
                <w:sz w:val="22"/>
                <w:szCs w:val="22"/>
              </w:rPr>
            </w:pPr>
            <w:r w:rsidRPr="00530D27">
              <w:rPr>
                <w:rFonts w:ascii="Calibri" w:hAnsi="Calibri" w:cs="Calibri"/>
                <w:color w:val="000000"/>
                <w:sz w:val="22"/>
                <w:szCs w:val="22"/>
              </w:rPr>
              <w:t>Die in den Erläuterungen angegebenen Textziffern beziehen sich auf das BMF-Schreiben vom 28.11.2019, Az.: IV A 4 – S 0316/19/10003:001 (</w:t>
            </w:r>
            <w:proofErr w:type="spellStart"/>
            <w:r w:rsidRPr="00530D27">
              <w:rPr>
                <w:rFonts w:ascii="Calibri" w:hAnsi="Calibri" w:cs="Calibri"/>
                <w:color w:val="000000"/>
                <w:sz w:val="22"/>
                <w:szCs w:val="22"/>
              </w:rPr>
              <w:t>GoBD</w:t>
            </w:r>
            <w:proofErr w:type="spellEnd"/>
            <w:r w:rsidRPr="00530D27">
              <w:rPr>
                <w:rFonts w:ascii="Calibri" w:hAnsi="Calibri" w:cs="Calibri"/>
                <w:color w:val="000000"/>
                <w:sz w:val="22"/>
                <w:szCs w:val="22"/>
              </w:rPr>
              <w:t>).</w:t>
            </w:r>
          </w:p>
        </w:tc>
      </w:tr>
      <w:bookmarkEnd w:id="0"/>
    </w:tbl>
    <w:p w14:paraId="5680CE8B" w14:textId="77777777" w:rsidR="00530D27" w:rsidRDefault="00530D27" w:rsidP="004D2195">
      <w:pPr>
        <w:rPr>
          <w:rFonts w:ascii="Arial" w:hAnsi="Arial" w:cs="Arial"/>
        </w:rPr>
      </w:pPr>
    </w:p>
    <w:tbl>
      <w:tblPr>
        <w:tblStyle w:val="Tabellenraster"/>
        <w:tblW w:w="0" w:type="auto"/>
        <w:tblLook w:val="04A0" w:firstRow="1" w:lastRow="0" w:firstColumn="1" w:lastColumn="0" w:noHBand="0" w:noVBand="1"/>
      </w:tblPr>
      <w:tblGrid>
        <w:gridCol w:w="541"/>
        <w:gridCol w:w="1518"/>
        <w:gridCol w:w="4244"/>
        <w:gridCol w:w="864"/>
        <w:gridCol w:w="789"/>
        <w:gridCol w:w="1106"/>
      </w:tblGrid>
      <w:tr w:rsidR="00530D27" w:rsidRPr="00530D27" w14:paraId="25044492" w14:textId="77777777" w:rsidTr="00530D27">
        <w:tc>
          <w:tcPr>
            <w:tcW w:w="9062" w:type="dxa"/>
            <w:gridSpan w:val="6"/>
            <w:shd w:val="clear" w:color="auto" w:fill="A6A6A6" w:themeFill="background1" w:themeFillShade="A6"/>
          </w:tcPr>
          <w:p w14:paraId="22A1674A" w14:textId="19C56C2F" w:rsidR="004D2195" w:rsidRPr="00530D27" w:rsidRDefault="004D2195" w:rsidP="00DC7EDC">
            <w:pPr>
              <w:spacing w:before="60" w:after="60"/>
              <w:rPr>
                <w:rFonts w:cstheme="minorHAnsi"/>
                <w:b/>
              </w:rPr>
            </w:pPr>
            <w:proofErr w:type="spellStart"/>
            <w:r w:rsidRPr="00530D27">
              <w:rPr>
                <w:rFonts w:cstheme="minorHAnsi"/>
                <w:b/>
              </w:rPr>
              <w:t>GoBD</w:t>
            </w:r>
            <w:proofErr w:type="spellEnd"/>
            <w:r w:rsidRPr="00530D27">
              <w:rPr>
                <w:rFonts w:cstheme="minorHAnsi"/>
                <w:b/>
              </w:rPr>
              <w:t>-Schnellcheck</w:t>
            </w:r>
          </w:p>
        </w:tc>
      </w:tr>
      <w:tr w:rsidR="00530D27" w:rsidRPr="00530D27" w14:paraId="7F66AF0A" w14:textId="77777777" w:rsidTr="00530D27">
        <w:tc>
          <w:tcPr>
            <w:tcW w:w="541" w:type="dxa"/>
            <w:shd w:val="clear" w:color="auto" w:fill="D9D9D9" w:themeFill="background1" w:themeFillShade="D9"/>
            <w:vAlign w:val="center"/>
          </w:tcPr>
          <w:p w14:paraId="569B3F2D" w14:textId="77777777" w:rsidR="00760DE4" w:rsidRPr="00530D27" w:rsidRDefault="00760DE4" w:rsidP="00DC7EDC">
            <w:pPr>
              <w:spacing w:before="60" w:after="60"/>
              <w:jc w:val="center"/>
              <w:rPr>
                <w:rFonts w:cstheme="minorHAnsi"/>
                <w:b/>
              </w:rPr>
            </w:pPr>
            <w:r w:rsidRPr="00530D27">
              <w:rPr>
                <w:rFonts w:cstheme="minorHAnsi"/>
                <w:b/>
              </w:rPr>
              <w:t>Nr.</w:t>
            </w:r>
          </w:p>
        </w:tc>
        <w:tc>
          <w:tcPr>
            <w:tcW w:w="5762" w:type="dxa"/>
            <w:gridSpan w:val="2"/>
            <w:shd w:val="clear" w:color="auto" w:fill="D9D9D9" w:themeFill="background1" w:themeFillShade="D9"/>
            <w:vAlign w:val="center"/>
          </w:tcPr>
          <w:p w14:paraId="1CD37798" w14:textId="54C848AD" w:rsidR="00760DE4" w:rsidRPr="00530D27" w:rsidRDefault="00C2001A" w:rsidP="00DC7EDC">
            <w:pPr>
              <w:spacing w:before="60" w:after="60"/>
              <w:jc w:val="center"/>
              <w:rPr>
                <w:rFonts w:cstheme="minorHAnsi"/>
                <w:b/>
              </w:rPr>
            </w:pPr>
            <w:r w:rsidRPr="00530D27">
              <w:rPr>
                <w:rFonts w:cstheme="minorHAnsi"/>
                <w:b/>
              </w:rPr>
              <w:t>Prüfungspunkte</w:t>
            </w:r>
          </w:p>
        </w:tc>
        <w:tc>
          <w:tcPr>
            <w:tcW w:w="864" w:type="dxa"/>
            <w:shd w:val="clear" w:color="auto" w:fill="D9D9D9" w:themeFill="background1" w:themeFillShade="D9"/>
            <w:vAlign w:val="center"/>
          </w:tcPr>
          <w:p w14:paraId="779FB850" w14:textId="413ED59E" w:rsidR="00760DE4" w:rsidRPr="00530D27" w:rsidRDefault="00760DE4" w:rsidP="00DC7EDC">
            <w:pPr>
              <w:spacing w:before="60" w:after="60"/>
              <w:jc w:val="center"/>
              <w:rPr>
                <w:rFonts w:cstheme="minorHAnsi"/>
                <w:b/>
              </w:rPr>
            </w:pPr>
            <w:r w:rsidRPr="00530D27">
              <w:rPr>
                <w:rFonts w:cstheme="minorHAnsi"/>
                <w:b/>
              </w:rPr>
              <w:t>J</w:t>
            </w:r>
            <w:r w:rsidR="004D2195" w:rsidRPr="00530D27">
              <w:rPr>
                <w:rFonts w:cstheme="minorHAnsi"/>
                <w:b/>
              </w:rPr>
              <w:t>a</w:t>
            </w:r>
          </w:p>
        </w:tc>
        <w:tc>
          <w:tcPr>
            <w:tcW w:w="789" w:type="dxa"/>
            <w:shd w:val="clear" w:color="auto" w:fill="D9D9D9" w:themeFill="background1" w:themeFillShade="D9"/>
            <w:vAlign w:val="center"/>
          </w:tcPr>
          <w:p w14:paraId="456EDACF" w14:textId="7723C524" w:rsidR="00760DE4" w:rsidRPr="00530D27" w:rsidRDefault="00760DE4" w:rsidP="00DC7EDC">
            <w:pPr>
              <w:spacing w:before="60" w:after="60"/>
              <w:jc w:val="center"/>
              <w:rPr>
                <w:rFonts w:cstheme="minorHAnsi"/>
                <w:b/>
              </w:rPr>
            </w:pPr>
            <w:r w:rsidRPr="00530D27">
              <w:rPr>
                <w:rFonts w:cstheme="minorHAnsi"/>
                <w:b/>
              </w:rPr>
              <w:t>N</w:t>
            </w:r>
            <w:r w:rsidR="004D2195" w:rsidRPr="00530D27">
              <w:rPr>
                <w:rFonts w:cstheme="minorHAnsi"/>
                <w:b/>
              </w:rPr>
              <w:t>ein</w:t>
            </w:r>
          </w:p>
        </w:tc>
        <w:tc>
          <w:tcPr>
            <w:tcW w:w="1106" w:type="dxa"/>
            <w:shd w:val="clear" w:color="auto" w:fill="D9D9D9" w:themeFill="background1" w:themeFillShade="D9"/>
            <w:vAlign w:val="center"/>
          </w:tcPr>
          <w:p w14:paraId="48CD19E1" w14:textId="5C01E743" w:rsidR="00760DE4" w:rsidRPr="00530D27" w:rsidRDefault="0025628A" w:rsidP="00DC7EDC">
            <w:pPr>
              <w:spacing w:before="60" w:after="60"/>
              <w:jc w:val="center"/>
              <w:rPr>
                <w:rFonts w:cstheme="minorHAnsi"/>
                <w:b/>
              </w:rPr>
            </w:pPr>
            <w:r w:rsidRPr="00530D27">
              <w:rPr>
                <w:rFonts w:cstheme="minorHAnsi"/>
                <w:b/>
              </w:rPr>
              <w:t>z</w:t>
            </w:r>
            <w:r w:rsidR="00252F82" w:rsidRPr="00530D27">
              <w:rPr>
                <w:rFonts w:cstheme="minorHAnsi"/>
                <w:b/>
              </w:rPr>
              <w:t>u erledigen</w:t>
            </w:r>
          </w:p>
        </w:tc>
      </w:tr>
      <w:tr w:rsidR="00530D27" w:rsidRPr="00530D27" w14:paraId="03FFBF78" w14:textId="77777777" w:rsidTr="00530D27">
        <w:trPr>
          <w:trHeight w:val="526"/>
        </w:trPr>
        <w:tc>
          <w:tcPr>
            <w:tcW w:w="541" w:type="dxa"/>
            <w:vMerge w:val="restart"/>
          </w:tcPr>
          <w:p w14:paraId="69ADBB3E" w14:textId="77777777" w:rsidR="0018152B" w:rsidRPr="00530D27" w:rsidRDefault="0018152B" w:rsidP="00DC7EDC">
            <w:pPr>
              <w:spacing w:before="60" w:after="60"/>
              <w:rPr>
                <w:rFonts w:cstheme="minorHAnsi"/>
              </w:rPr>
            </w:pPr>
            <w:r w:rsidRPr="00530D27">
              <w:rPr>
                <w:rFonts w:cstheme="minorHAnsi"/>
              </w:rPr>
              <w:t>1</w:t>
            </w:r>
          </w:p>
        </w:tc>
        <w:tc>
          <w:tcPr>
            <w:tcW w:w="5762" w:type="dxa"/>
            <w:gridSpan w:val="2"/>
            <w:vAlign w:val="center"/>
          </w:tcPr>
          <w:p w14:paraId="0F66A00E" w14:textId="051DCCB4" w:rsidR="0018152B" w:rsidRPr="00530D27" w:rsidRDefault="0018152B" w:rsidP="00DC7EDC">
            <w:pPr>
              <w:spacing w:before="60" w:after="60"/>
              <w:rPr>
                <w:rFonts w:cstheme="minorHAnsi"/>
              </w:rPr>
            </w:pPr>
            <w:r w:rsidRPr="00530D27">
              <w:rPr>
                <w:rFonts w:cstheme="minorHAnsi"/>
              </w:rPr>
              <w:t>Werden alle Unterlagen und Daten, die steuerrelevant sind aufbewahrt?</w:t>
            </w:r>
          </w:p>
        </w:tc>
        <w:tc>
          <w:tcPr>
            <w:tcW w:w="864" w:type="dxa"/>
          </w:tcPr>
          <w:p w14:paraId="6F16FA59" w14:textId="77777777" w:rsidR="0018152B" w:rsidRPr="00530D27" w:rsidRDefault="0018152B" w:rsidP="00DC7EDC">
            <w:pPr>
              <w:spacing w:before="60" w:after="60"/>
              <w:rPr>
                <w:rFonts w:cstheme="minorHAnsi"/>
              </w:rPr>
            </w:pPr>
          </w:p>
        </w:tc>
        <w:tc>
          <w:tcPr>
            <w:tcW w:w="789" w:type="dxa"/>
          </w:tcPr>
          <w:p w14:paraId="5F8F0A30" w14:textId="77777777" w:rsidR="0018152B" w:rsidRPr="00530D27" w:rsidRDefault="0018152B" w:rsidP="00DC7EDC">
            <w:pPr>
              <w:spacing w:before="60" w:after="60"/>
              <w:rPr>
                <w:rFonts w:cstheme="minorHAnsi"/>
              </w:rPr>
            </w:pPr>
          </w:p>
        </w:tc>
        <w:tc>
          <w:tcPr>
            <w:tcW w:w="1106" w:type="dxa"/>
          </w:tcPr>
          <w:p w14:paraId="0D86B5F9" w14:textId="0CB17437" w:rsidR="0018152B" w:rsidRPr="00530D27" w:rsidRDefault="0018152B" w:rsidP="00DC7EDC">
            <w:pPr>
              <w:spacing w:before="60" w:after="60"/>
              <w:rPr>
                <w:rFonts w:cstheme="minorHAnsi"/>
              </w:rPr>
            </w:pPr>
          </w:p>
        </w:tc>
      </w:tr>
      <w:tr w:rsidR="00530D27" w:rsidRPr="00530D27" w14:paraId="6E2A4374" w14:textId="77777777" w:rsidTr="00530D27">
        <w:trPr>
          <w:trHeight w:val="262"/>
        </w:trPr>
        <w:tc>
          <w:tcPr>
            <w:tcW w:w="541" w:type="dxa"/>
            <w:vMerge/>
          </w:tcPr>
          <w:p w14:paraId="04ED1326" w14:textId="77777777" w:rsidR="0018152B" w:rsidRPr="00530D27" w:rsidRDefault="0018152B" w:rsidP="00DC7EDC">
            <w:pPr>
              <w:spacing w:before="60" w:after="60"/>
              <w:rPr>
                <w:rFonts w:cstheme="minorHAnsi"/>
              </w:rPr>
            </w:pPr>
          </w:p>
        </w:tc>
        <w:tc>
          <w:tcPr>
            <w:tcW w:w="1518" w:type="dxa"/>
            <w:vAlign w:val="center"/>
          </w:tcPr>
          <w:p w14:paraId="6B72D037" w14:textId="1642D267" w:rsidR="0018152B" w:rsidRPr="00530D27" w:rsidRDefault="0018152B" w:rsidP="00DC7EDC">
            <w:pPr>
              <w:spacing w:before="60" w:after="60"/>
              <w:rPr>
                <w:rFonts w:cstheme="minorHAnsi"/>
              </w:rPr>
            </w:pPr>
            <w:r w:rsidRPr="00530D27">
              <w:rPr>
                <w:rFonts w:cstheme="minorHAnsi"/>
              </w:rPr>
              <w:t>Papierbelege</w:t>
            </w:r>
          </w:p>
        </w:tc>
        <w:tc>
          <w:tcPr>
            <w:tcW w:w="4244" w:type="dxa"/>
            <w:vAlign w:val="center"/>
          </w:tcPr>
          <w:p w14:paraId="16043B6D" w14:textId="088EDC08" w:rsidR="0018152B" w:rsidRPr="00530D27" w:rsidRDefault="0018152B" w:rsidP="00DC7EDC">
            <w:pPr>
              <w:spacing w:before="60" w:after="60"/>
              <w:rPr>
                <w:rFonts w:cstheme="minorHAnsi"/>
              </w:rPr>
            </w:pPr>
            <w:r w:rsidRPr="00530D27">
              <w:rPr>
                <w:rFonts w:cstheme="minorHAnsi"/>
              </w:rPr>
              <w:t>Rechnungen</w:t>
            </w:r>
          </w:p>
        </w:tc>
        <w:tc>
          <w:tcPr>
            <w:tcW w:w="864" w:type="dxa"/>
          </w:tcPr>
          <w:p w14:paraId="3B6874ED" w14:textId="77777777" w:rsidR="0018152B" w:rsidRPr="00530D27" w:rsidRDefault="0018152B" w:rsidP="00DC7EDC">
            <w:pPr>
              <w:spacing w:before="60" w:after="60"/>
              <w:rPr>
                <w:rFonts w:cstheme="minorHAnsi"/>
              </w:rPr>
            </w:pPr>
          </w:p>
        </w:tc>
        <w:tc>
          <w:tcPr>
            <w:tcW w:w="789" w:type="dxa"/>
          </w:tcPr>
          <w:p w14:paraId="315A8802" w14:textId="77777777" w:rsidR="0018152B" w:rsidRPr="00530D27" w:rsidRDefault="0018152B" w:rsidP="00DC7EDC">
            <w:pPr>
              <w:spacing w:before="60" w:after="60"/>
              <w:rPr>
                <w:rFonts w:cstheme="minorHAnsi"/>
              </w:rPr>
            </w:pPr>
          </w:p>
        </w:tc>
        <w:tc>
          <w:tcPr>
            <w:tcW w:w="1106" w:type="dxa"/>
          </w:tcPr>
          <w:p w14:paraId="79207B61" w14:textId="77777777" w:rsidR="0018152B" w:rsidRPr="00530D27" w:rsidRDefault="0018152B" w:rsidP="00DC7EDC">
            <w:pPr>
              <w:spacing w:before="60" w:after="60"/>
              <w:rPr>
                <w:rFonts w:cstheme="minorHAnsi"/>
              </w:rPr>
            </w:pPr>
          </w:p>
        </w:tc>
      </w:tr>
      <w:tr w:rsidR="00530D27" w:rsidRPr="00530D27" w14:paraId="4E0E895B" w14:textId="77777777" w:rsidTr="00530D27">
        <w:trPr>
          <w:trHeight w:val="262"/>
        </w:trPr>
        <w:tc>
          <w:tcPr>
            <w:tcW w:w="541" w:type="dxa"/>
            <w:vMerge/>
          </w:tcPr>
          <w:p w14:paraId="666AA5B6" w14:textId="77777777" w:rsidR="0018152B" w:rsidRPr="00530D27" w:rsidRDefault="0018152B" w:rsidP="00DC7EDC">
            <w:pPr>
              <w:spacing w:before="60" w:after="60"/>
              <w:rPr>
                <w:rFonts w:cstheme="minorHAnsi"/>
              </w:rPr>
            </w:pPr>
          </w:p>
        </w:tc>
        <w:tc>
          <w:tcPr>
            <w:tcW w:w="1518" w:type="dxa"/>
            <w:vAlign w:val="center"/>
          </w:tcPr>
          <w:p w14:paraId="25A86795" w14:textId="77777777" w:rsidR="0018152B" w:rsidRPr="00530D27" w:rsidRDefault="0018152B" w:rsidP="00DC7EDC">
            <w:pPr>
              <w:spacing w:before="60" w:after="60"/>
              <w:rPr>
                <w:rFonts w:cstheme="minorHAnsi"/>
              </w:rPr>
            </w:pPr>
          </w:p>
        </w:tc>
        <w:tc>
          <w:tcPr>
            <w:tcW w:w="4244" w:type="dxa"/>
            <w:vAlign w:val="center"/>
          </w:tcPr>
          <w:p w14:paraId="2464189A" w14:textId="6B9BCE7C" w:rsidR="0018152B" w:rsidRPr="00530D27" w:rsidRDefault="0018152B" w:rsidP="00DC7EDC">
            <w:pPr>
              <w:spacing w:before="60" w:after="60"/>
              <w:rPr>
                <w:rFonts w:cstheme="minorHAnsi"/>
              </w:rPr>
            </w:pPr>
            <w:r w:rsidRPr="00530D27">
              <w:rPr>
                <w:rFonts w:cstheme="minorHAnsi"/>
              </w:rPr>
              <w:t>Lieferscheine</w:t>
            </w:r>
          </w:p>
        </w:tc>
        <w:tc>
          <w:tcPr>
            <w:tcW w:w="864" w:type="dxa"/>
          </w:tcPr>
          <w:p w14:paraId="2F108B7C" w14:textId="77777777" w:rsidR="0018152B" w:rsidRPr="00530D27" w:rsidRDefault="0018152B" w:rsidP="00DC7EDC">
            <w:pPr>
              <w:spacing w:before="60" w:after="60"/>
              <w:rPr>
                <w:rFonts w:cstheme="minorHAnsi"/>
              </w:rPr>
            </w:pPr>
          </w:p>
        </w:tc>
        <w:tc>
          <w:tcPr>
            <w:tcW w:w="789" w:type="dxa"/>
          </w:tcPr>
          <w:p w14:paraId="28C3EF16" w14:textId="77777777" w:rsidR="0018152B" w:rsidRPr="00530D27" w:rsidRDefault="0018152B" w:rsidP="00DC7EDC">
            <w:pPr>
              <w:spacing w:before="60" w:after="60"/>
              <w:rPr>
                <w:rFonts w:cstheme="minorHAnsi"/>
              </w:rPr>
            </w:pPr>
          </w:p>
        </w:tc>
        <w:tc>
          <w:tcPr>
            <w:tcW w:w="1106" w:type="dxa"/>
          </w:tcPr>
          <w:p w14:paraId="7FB7ED10" w14:textId="77777777" w:rsidR="0018152B" w:rsidRPr="00530D27" w:rsidRDefault="0018152B" w:rsidP="00DC7EDC">
            <w:pPr>
              <w:spacing w:before="60" w:after="60"/>
              <w:rPr>
                <w:rFonts w:cstheme="minorHAnsi"/>
              </w:rPr>
            </w:pPr>
          </w:p>
        </w:tc>
      </w:tr>
      <w:tr w:rsidR="00530D27" w:rsidRPr="00530D27" w14:paraId="611A87DB" w14:textId="77777777" w:rsidTr="00530D27">
        <w:trPr>
          <w:trHeight w:val="262"/>
        </w:trPr>
        <w:tc>
          <w:tcPr>
            <w:tcW w:w="541" w:type="dxa"/>
            <w:vMerge/>
          </w:tcPr>
          <w:p w14:paraId="1EB83C5B" w14:textId="77777777" w:rsidR="0018152B" w:rsidRPr="00530D27" w:rsidRDefault="0018152B" w:rsidP="00DC7EDC">
            <w:pPr>
              <w:spacing w:before="60" w:after="60"/>
              <w:rPr>
                <w:rFonts w:cstheme="minorHAnsi"/>
              </w:rPr>
            </w:pPr>
          </w:p>
        </w:tc>
        <w:tc>
          <w:tcPr>
            <w:tcW w:w="1518" w:type="dxa"/>
            <w:vAlign w:val="center"/>
          </w:tcPr>
          <w:p w14:paraId="40DC5087" w14:textId="77777777" w:rsidR="0018152B" w:rsidRPr="00530D27" w:rsidRDefault="0018152B" w:rsidP="00DC7EDC">
            <w:pPr>
              <w:spacing w:before="60" w:after="60"/>
              <w:rPr>
                <w:rFonts w:cstheme="minorHAnsi"/>
              </w:rPr>
            </w:pPr>
          </w:p>
        </w:tc>
        <w:tc>
          <w:tcPr>
            <w:tcW w:w="4244" w:type="dxa"/>
            <w:vAlign w:val="center"/>
          </w:tcPr>
          <w:p w14:paraId="1CF02FCD" w14:textId="534D51FF" w:rsidR="0018152B" w:rsidRPr="00530D27" w:rsidRDefault="0018152B" w:rsidP="00DC7EDC">
            <w:pPr>
              <w:spacing w:before="60" w:after="60"/>
              <w:rPr>
                <w:rFonts w:cstheme="minorHAnsi"/>
              </w:rPr>
            </w:pPr>
            <w:r w:rsidRPr="00530D27">
              <w:rPr>
                <w:rFonts w:cstheme="minorHAnsi"/>
              </w:rPr>
              <w:t>Geschäftskorrespondenz</w:t>
            </w:r>
          </w:p>
        </w:tc>
        <w:tc>
          <w:tcPr>
            <w:tcW w:w="864" w:type="dxa"/>
          </w:tcPr>
          <w:p w14:paraId="45667C8D" w14:textId="77777777" w:rsidR="0018152B" w:rsidRPr="00530D27" w:rsidRDefault="0018152B" w:rsidP="00DC7EDC">
            <w:pPr>
              <w:spacing w:before="60" w:after="60"/>
              <w:rPr>
                <w:rFonts w:cstheme="minorHAnsi"/>
              </w:rPr>
            </w:pPr>
          </w:p>
        </w:tc>
        <w:tc>
          <w:tcPr>
            <w:tcW w:w="789" w:type="dxa"/>
          </w:tcPr>
          <w:p w14:paraId="07C50617" w14:textId="77777777" w:rsidR="0018152B" w:rsidRPr="00530D27" w:rsidRDefault="0018152B" w:rsidP="00DC7EDC">
            <w:pPr>
              <w:spacing w:before="60" w:after="60"/>
              <w:rPr>
                <w:rFonts w:cstheme="minorHAnsi"/>
              </w:rPr>
            </w:pPr>
          </w:p>
        </w:tc>
        <w:tc>
          <w:tcPr>
            <w:tcW w:w="1106" w:type="dxa"/>
          </w:tcPr>
          <w:p w14:paraId="2C87642B" w14:textId="77777777" w:rsidR="0018152B" w:rsidRPr="00530D27" w:rsidRDefault="0018152B" w:rsidP="00DC7EDC">
            <w:pPr>
              <w:spacing w:before="60" w:after="60"/>
              <w:rPr>
                <w:rFonts w:cstheme="minorHAnsi"/>
              </w:rPr>
            </w:pPr>
          </w:p>
        </w:tc>
      </w:tr>
      <w:tr w:rsidR="00530D27" w:rsidRPr="00530D27" w14:paraId="36C20A1E" w14:textId="77777777" w:rsidTr="00530D27">
        <w:trPr>
          <w:trHeight w:val="262"/>
        </w:trPr>
        <w:tc>
          <w:tcPr>
            <w:tcW w:w="541" w:type="dxa"/>
            <w:vMerge/>
          </w:tcPr>
          <w:p w14:paraId="51DACC47" w14:textId="77777777" w:rsidR="0018152B" w:rsidRPr="00530D27" w:rsidRDefault="0018152B" w:rsidP="00DC7EDC">
            <w:pPr>
              <w:spacing w:before="60" w:after="60"/>
              <w:rPr>
                <w:rFonts w:cstheme="minorHAnsi"/>
              </w:rPr>
            </w:pPr>
          </w:p>
        </w:tc>
        <w:tc>
          <w:tcPr>
            <w:tcW w:w="1518" w:type="dxa"/>
            <w:vAlign w:val="center"/>
          </w:tcPr>
          <w:p w14:paraId="5FA8FDBE" w14:textId="77777777" w:rsidR="0018152B" w:rsidRPr="00530D27" w:rsidRDefault="0018152B" w:rsidP="00DC7EDC">
            <w:pPr>
              <w:spacing w:before="60" w:after="60"/>
              <w:rPr>
                <w:rFonts w:cstheme="minorHAnsi"/>
              </w:rPr>
            </w:pPr>
          </w:p>
        </w:tc>
        <w:tc>
          <w:tcPr>
            <w:tcW w:w="4244" w:type="dxa"/>
            <w:vAlign w:val="center"/>
          </w:tcPr>
          <w:p w14:paraId="51DB92F6" w14:textId="584F9381" w:rsidR="0018152B" w:rsidRPr="00530D27" w:rsidRDefault="0018152B" w:rsidP="00DC7EDC">
            <w:pPr>
              <w:spacing w:before="60" w:after="60"/>
              <w:rPr>
                <w:rFonts w:cstheme="minorHAnsi"/>
              </w:rPr>
            </w:pPr>
            <w:r w:rsidRPr="00530D27">
              <w:rPr>
                <w:rFonts w:cstheme="minorHAnsi"/>
              </w:rPr>
              <w:t>Kassenbuch</w:t>
            </w:r>
          </w:p>
        </w:tc>
        <w:tc>
          <w:tcPr>
            <w:tcW w:w="864" w:type="dxa"/>
          </w:tcPr>
          <w:p w14:paraId="6FA1D908" w14:textId="77777777" w:rsidR="0018152B" w:rsidRPr="00530D27" w:rsidRDefault="0018152B" w:rsidP="00DC7EDC">
            <w:pPr>
              <w:spacing w:before="60" w:after="60"/>
              <w:rPr>
                <w:rFonts w:cstheme="minorHAnsi"/>
              </w:rPr>
            </w:pPr>
          </w:p>
        </w:tc>
        <w:tc>
          <w:tcPr>
            <w:tcW w:w="789" w:type="dxa"/>
          </w:tcPr>
          <w:p w14:paraId="2F0FF6CD" w14:textId="77777777" w:rsidR="0018152B" w:rsidRPr="00530D27" w:rsidRDefault="0018152B" w:rsidP="00DC7EDC">
            <w:pPr>
              <w:spacing w:before="60" w:after="60"/>
              <w:rPr>
                <w:rFonts w:cstheme="minorHAnsi"/>
              </w:rPr>
            </w:pPr>
          </w:p>
        </w:tc>
        <w:tc>
          <w:tcPr>
            <w:tcW w:w="1106" w:type="dxa"/>
          </w:tcPr>
          <w:p w14:paraId="127BE9B9" w14:textId="77777777" w:rsidR="0018152B" w:rsidRPr="00530D27" w:rsidRDefault="0018152B" w:rsidP="00DC7EDC">
            <w:pPr>
              <w:spacing w:before="60" w:after="60"/>
              <w:rPr>
                <w:rFonts w:cstheme="minorHAnsi"/>
              </w:rPr>
            </w:pPr>
          </w:p>
        </w:tc>
      </w:tr>
      <w:tr w:rsidR="00530D27" w:rsidRPr="00530D27" w14:paraId="47E022BC" w14:textId="77777777" w:rsidTr="00530D27">
        <w:trPr>
          <w:trHeight w:val="262"/>
        </w:trPr>
        <w:tc>
          <w:tcPr>
            <w:tcW w:w="541" w:type="dxa"/>
            <w:vMerge/>
          </w:tcPr>
          <w:p w14:paraId="4D0AE54F" w14:textId="77777777" w:rsidR="0018152B" w:rsidRPr="00530D27" w:rsidRDefault="0018152B" w:rsidP="00DC7EDC">
            <w:pPr>
              <w:spacing w:before="60" w:after="60"/>
              <w:rPr>
                <w:rFonts w:cstheme="minorHAnsi"/>
              </w:rPr>
            </w:pPr>
          </w:p>
        </w:tc>
        <w:tc>
          <w:tcPr>
            <w:tcW w:w="1518" w:type="dxa"/>
            <w:vAlign w:val="center"/>
          </w:tcPr>
          <w:p w14:paraId="7DE40852" w14:textId="77777777" w:rsidR="0018152B" w:rsidRPr="00530D27" w:rsidRDefault="0018152B" w:rsidP="00DC7EDC">
            <w:pPr>
              <w:spacing w:before="60" w:after="60"/>
              <w:rPr>
                <w:rFonts w:cstheme="minorHAnsi"/>
              </w:rPr>
            </w:pPr>
          </w:p>
        </w:tc>
        <w:tc>
          <w:tcPr>
            <w:tcW w:w="4244" w:type="dxa"/>
            <w:vAlign w:val="center"/>
          </w:tcPr>
          <w:p w14:paraId="360BDB52" w14:textId="7FDA9CF7" w:rsidR="0018152B" w:rsidRPr="00530D27" w:rsidRDefault="0018152B" w:rsidP="00DC7EDC">
            <w:pPr>
              <w:spacing w:before="60" w:after="60"/>
              <w:rPr>
                <w:rFonts w:cstheme="minorHAnsi"/>
              </w:rPr>
            </w:pPr>
            <w:r w:rsidRPr="00530D27">
              <w:rPr>
                <w:rFonts w:cstheme="minorHAnsi"/>
              </w:rPr>
              <w:t>Kassenzählprotokolle</w:t>
            </w:r>
          </w:p>
        </w:tc>
        <w:tc>
          <w:tcPr>
            <w:tcW w:w="864" w:type="dxa"/>
          </w:tcPr>
          <w:p w14:paraId="7FE9A789" w14:textId="77777777" w:rsidR="0018152B" w:rsidRPr="00530D27" w:rsidRDefault="0018152B" w:rsidP="00DC7EDC">
            <w:pPr>
              <w:spacing w:before="60" w:after="60"/>
              <w:rPr>
                <w:rFonts w:cstheme="minorHAnsi"/>
              </w:rPr>
            </w:pPr>
          </w:p>
        </w:tc>
        <w:tc>
          <w:tcPr>
            <w:tcW w:w="789" w:type="dxa"/>
          </w:tcPr>
          <w:p w14:paraId="41CD2F4D" w14:textId="77777777" w:rsidR="0018152B" w:rsidRPr="00530D27" w:rsidRDefault="0018152B" w:rsidP="00DC7EDC">
            <w:pPr>
              <w:spacing w:before="60" w:after="60"/>
              <w:rPr>
                <w:rFonts w:cstheme="minorHAnsi"/>
              </w:rPr>
            </w:pPr>
          </w:p>
        </w:tc>
        <w:tc>
          <w:tcPr>
            <w:tcW w:w="1106" w:type="dxa"/>
          </w:tcPr>
          <w:p w14:paraId="779C7276" w14:textId="77777777" w:rsidR="0018152B" w:rsidRPr="00530D27" w:rsidRDefault="0018152B" w:rsidP="00DC7EDC">
            <w:pPr>
              <w:spacing w:before="60" w:after="60"/>
              <w:rPr>
                <w:rFonts w:cstheme="minorHAnsi"/>
              </w:rPr>
            </w:pPr>
          </w:p>
        </w:tc>
      </w:tr>
      <w:tr w:rsidR="00530D27" w:rsidRPr="00530D27" w14:paraId="28E2EEEE" w14:textId="77777777" w:rsidTr="00530D27">
        <w:trPr>
          <w:trHeight w:val="262"/>
        </w:trPr>
        <w:tc>
          <w:tcPr>
            <w:tcW w:w="541" w:type="dxa"/>
            <w:vMerge/>
          </w:tcPr>
          <w:p w14:paraId="7CA16886" w14:textId="77777777" w:rsidR="0018152B" w:rsidRPr="00530D27" w:rsidRDefault="0018152B" w:rsidP="00DC7EDC">
            <w:pPr>
              <w:spacing w:before="60" w:after="60"/>
              <w:rPr>
                <w:rFonts w:cstheme="minorHAnsi"/>
              </w:rPr>
            </w:pPr>
          </w:p>
        </w:tc>
        <w:tc>
          <w:tcPr>
            <w:tcW w:w="1518" w:type="dxa"/>
            <w:vAlign w:val="center"/>
          </w:tcPr>
          <w:p w14:paraId="13CC8260" w14:textId="77777777" w:rsidR="0018152B" w:rsidRPr="00530D27" w:rsidRDefault="0018152B" w:rsidP="00DC7EDC">
            <w:pPr>
              <w:spacing w:before="60" w:after="60"/>
              <w:rPr>
                <w:rFonts w:cstheme="minorHAnsi"/>
              </w:rPr>
            </w:pPr>
          </w:p>
        </w:tc>
        <w:tc>
          <w:tcPr>
            <w:tcW w:w="4244" w:type="dxa"/>
            <w:vAlign w:val="center"/>
          </w:tcPr>
          <w:p w14:paraId="5733E1E7" w14:textId="00C4BF86" w:rsidR="0018152B" w:rsidRPr="00530D27" w:rsidRDefault="0018152B" w:rsidP="00DC7EDC">
            <w:pPr>
              <w:spacing w:before="60" w:after="60"/>
              <w:rPr>
                <w:rFonts w:cstheme="minorHAnsi"/>
              </w:rPr>
            </w:pPr>
            <w:r w:rsidRPr="00530D27">
              <w:rPr>
                <w:rFonts w:cstheme="minorHAnsi"/>
              </w:rPr>
              <w:t>usw.</w:t>
            </w:r>
          </w:p>
        </w:tc>
        <w:tc>
          <w:tcPr>
            <w:tcW w:w="864" w:type="dxa"/>
          </w:tcPr>
          <w:p w14:paraId="7C6E331B" w14:textId="77777777" w:rsidR="0018152B" w:rsidRPr="00530D27" w:rsidRDefault="0018152B" w:rsidP="00DC7EDC">
            <w:pPr>
              <w:spacing w:before="60" w:after="60"/>
              <w:rPr>
                <w:rFonts w:cstheme="minorHAnsi"/>
              </w:rPr>
            </w:pPr>
          </w:p>
        </w:tc>
        <w:tc>
          <w:tcPr>
            <w:tcW w:w="789" w:type="dxa"/>
          </w:tcPr>
          <w:p w14:paraId="2AAB8AFF" w14:textId="77777777" w:rsidR="0018152B" w:rsidRPr="00530D27" w:rsidRDefault="0018152B" w:rsidP="00DC7EDC">
            <w:pPr>
              <w:spacing w:before="60" w:after="60"/>
              <w:rPr>
                <w:rFonts w:cstheme="minorHAnsi"/>
              </w:rPr>
            </w:pPr>
          </w:p>
        </w:tc>
        <w:tc>
          <w:tcPr>
            <w:tcW w:w="1106" w:type="dxa"/>
          </w:tcPr>
          <w:p w14:paraId="1200199A" w14:textId="77777777" w:rsidR="0018152B" w:rsidRPr="00530D27" w:rsidRDefault="0018152B" w:rsidP="00DC7EDC">
            <w:pPr>
              <w:spacing w:before="60" w:after="60"/>
              <w:rPr>
                <w:rFonts w:cstheme="minorHAnsi"/>
              </w:rPr>
            </w:pPr>
          </w:p>
        </w:tc>
      </w:tr>
      <w:tr w:rsidR="00530D27" w:rsidRPr="00530D27" w14:paraId="5B4CDD01" w14:textId="77777777" w:rsidTr="00530D27">
        <w:trPr>
          <w:trHeight w:val="262"/>
        </w:trPr>
        <w:tc>
          <w:tcPr>
            <w:tcW w:w="541" w:type="dxa"/>
            <w:vMerge/>
          </w:tcPr>
          <w:p w14:paraId="24B16E46" w14:textId="77777777" w:rsidR="0018152B" w:rsidRPr="00530D27" w:rsidRDefault="0018152B" w:rsidP="00DC7EDC">
            <w:pPr>
              <w:spacing w:before="60" w:after="60"/>
              <w:rPr>
                <w:rFonts w:cstheme="minorHAnsi"/>
              </w:rPr>
            </w:pPr>
          </w:p>
        </w:tc>
        <w:tc>
          <w:tcPr>
            <w:tcW w:w="1518" w:type="dxa"/>
            <w:vAlign w:val="center"/>
          </w:tcPr>
          <w:p w14:paraId="2F96030C" w14:textId="5CB6AB42" w:rsidR="0018152B" w:rsidRPr="00530D27" w:rsidRDefault="0018152B" w:rsidP="00DC7EDC">
            <w:pPr>
              <w:spacing w:before="60" w:after="60"/>
              <w:rPr>
                <w:rFonts w:cstheme="minorHAnsi"/>
              </w:rPr>
            </w:pPr>
            <w:r w:rsidRPr="00530D27">
              <w:rPr>
                <w:rFonts w:cstheme="minorHAnsi"/>
              </w:rPr>
              <w:t>Daten (aus…)</w:t>
            </w:r>
          </w:p>
        </w:tc>
        <w:tc>
          <w:tcPr>
            <w:tcW w:w="4244" w:type="dxa"/>
            <w:vAlign w:val="center"/>
          </w:tcPr>
          <w:p w14:paraId="45E03C69" w14:textId="287D86DA" w:rsidR="0018152B" w:rsidRPr="00530D27" w:rsidRDefault="0018152B" w:rsidP="00DC7EDC">
            <w:pPr>
              <w:spacing w:before="60" w:after="60"/>
              <w:rPr>
                <w:rFonts w:cstheme="minorHAnsi"/>
              </w:rPr>
            </w:pPr>
            <w:r w:rsidRPr="00530D27">
              <w:rPr>
                <w:rFonts w:cstheme="minorHAnsi"/>
              </w:rPr>
              <w:t>Geschäfts-E-Mails (auch der Mitarbeiter)</w:t>
            </w:r>
          </w:p>
        </w:tc>
        <w:tc>
          <w:tcPr>
            <w:tcW w:w="864" w:type="dxa"/>
          </w:tcPr>
          <w:p w14:paraId="467A5ED6" w14:textId="77777777" w:rsidR="0018152B" w:rsidRPr="00530D27" w:rsidRDefault="0018152B" w:rsidP="00DC7EDC">
            <w:pPr>
              <w:spacing w:before="60" w:after="60"/>
              <w:rPr>
                <w:rFonts w:cstheme="minorHAnsi"/>
              </w:rPr>
            </w:pPr>
          </w:p>
        </w:tc>
        <w:tc>
          <w:tcPr>
            <w:tcW w:w="789" w:type="dxa"/>
          </w:tcPr>
          <w:p w14:paraId="5F9517A6" w14:textId="77777777" w:rsidR="0018152B" w:rsidRPr="00530D27" w:rsidRDefault="0018152B" w:rsidP="00DC7EDC">
            <w:pPr>
              <w:spacing w:before="60" w:after="60"/>
              <w:rPr>
                <w:rFonts w:cstheme="minorHAnsi"/>
              </w:rPr>
            </w:pPr>
          </w:p>
        </w:tc>
        <w:tc>
          <w:tcPr>
            <w:tcW w:w="1106" w:type="dxa"/>
          </w:tcPr>
          <w:p w14:paraId="75B92853" w14:textId="77777777" w:rsidR="0018152B" w:rsidRPr="00530D27" w:rsidRDefault="0018152B" w:rsidP="00DC7EDC">
            <w:pPr>
              <w:spacing w:before="60" w:after="60"/>
              <w:rPr>
                <w:rFonts w:cstheme="minorHAnsi"/>
              </w:rPr>
            </w:pPr>
          </w:p>
        </w:tc>
      </w:tr>
      <w:tr w:rsidR="00530D27" w:rsidRPr="00530D27" w14:paraId="2ED240D5" w14:textId="77777777" w:rsidTr="00530D27">
        <w:trPr>
          <w:trHeight w:val="262"/>
        </w:trPr>
        <w:tc>
          <w:tcPr>
            <w:tcW w:w="541" w:type="dxa"/>
            <w:vMerge/>
          </w:tcPr>
          <w:p w14:paraId="2EC75BF0" w14:textId="77777777" w:rsidR="0018152B" w:rsidRPr="00530D27" w:rsidRDefault="0018152B" w:rsidP="00DC7EDC">
            <w:pPr>
              <w:spacing w:before="60" w:after="60"/>
              <w:rPr>
                <w:rFonts w:cstheme="minorHAnsi"/>
              </w:rPr>
            </w:pPr>
          </w:p>
        </w:tc>
        <w:tc>
          <w:tcPr>
            <w:tcW w:w="1518" w:type="dxa"/>
            <w:vAlign w:val="center"/>
          </w:tcPr>
          <w:p w14:paraId="3E9FE17B" w14:textId="77777777" w:rsidR="0018152B" w:rsidRPr="00530D27" w:rsidRDefault="0018152B" w:rsidP="00DC7EDC">
            <w:pPr>
              <w:spacing w:before="60" w:after="60"/>
              <w:rPr>
                <w:rFonts w:cstheme="minorHAnsi"/>
              </w:rPr>
            </w:pPr>
          </w:p>
        </w:tc>
        <w:tc>
          <w:tcPr>
            <w:tcW w:w="4244" w:type="dxa"/>
            <w:vAlign w:val="center"/>
          </w:tcPr>
          <w:p w14:paraId="311EC13B" w14:textId="64550DAD" w:rsidR="0018152B" w:rsidRPr="00530D27" w:rsidRDefault="0018152B" w:rsidP="00DC7EDC">
            <w:pPr>
              <w:spacing w:before="60" w:after="60"/>
              <w:rPr>
                <w:rFonts w:cstheme="minorHAnsi"/>
              </w:rPr>
            </w:pPr>
            <w:r w:rsidRPr="00530D27">
              <w:rPr>
                <w:rFonts w:cstheme="minorHAnsi"/>
              </w:rPr>
              <w:t>elektronische Rechnungen</w:t>
            </w:r>
          </w:p>
        </w:tc>
        <w:tc>
          <w:tcPr>
            <w:tcW w:w="864" w:type="dxa"/>
          </w:tcPr>
          <w:p w14:paraId="03E7D35F" w14:textId="77777777" w:rsidR="0018152B" w:rsidRPr="00530D27" w:rsidRDefault="0018152B" w:rsidP="00DC7EDC">
            <w:pPr>
              <w:spacing w:before="60" w:after="60"/>
              <w:rPr>
                <w:rFonts w:cstheme="minorHAnsi"/>
              </w:rPr>
            </w:pPr>
          </w:p>
        </w:tc>
        <w:tc>
          <w:tcPr>
            <w:tcW w:w="789" w:type="dxa"/>
          </w:tcPr>
          <w:p w14:paraId="6FA49C4E" w14:textId="77777777" w:rsidR="0018152B" w:rsidRPr="00530D27" w:rsidRDefault="0018152B" w:rsidP="00DC7EDC">
            <w:pPr>
              <w:spacing w:before="60" w:after="60"/>
              <w:rPr>
                <w:rFonts w:cstheme="minorHAnsi"/>
              </w:rPr>
            </w:pPr>
          </w:p>
        </w:tc>
        <w:tc>
          <w:tcPr>
            <w:tcW w:w="1106" w:type="dxa"/>
          </w:tcPr>
          <w:p w14:paraId="190D5067" w14:textId="77777777" w:rsidR="0018152B" w:rsidRPr="00530D27" w:rsidRDefault="0018152B" w:rsidP="00DC7EDC">
            <w:pPr>
              <w:spacing w:before="60" w:after="60"/>
              <w:rPr>
                <w:rFonts w:cstheme="minorHAnsi"/>
              </w:rPr>
            </w:pPr>
          </w:p>
        </w:tc>
      </w:tr>
      <w:tr w:rsidR="00530D27" w:rsidRPr="00530D27" w14:paraId="61C0AD56" w14:textId="77777777" w:rsidTr="00530D27">
        <w:trPr>
          <w:trHeight w:val="262"/>
        </w:trPr>
        <w:tc>
          <w:tcPr>
            <w:tcW w:w="541" w:type="dxa"/>
            <w:vMerge/>
          </w:tcPr>
          <w:p w14:paraId="530DF4CF" w14:textId="77777777" w:rsidR="0018152B" w:rsidRPr="00530D27" w:rsidRDefault="0018152B" w:rsidP="00DC7EDC">
            <w:pPr>
              <w:spacing w:before="60" w:after="60"/>
              <w:rPr>
                <w:rFonts w:cstheme="minorHAnsi"/>
              </w:rPr>
            </w:pPr>
          </w:p>
        </w:tc>
        <w:tc>
          <w:tcPr>
            <w:tcW w:w="1518" w:type="dxa"/>
            <w:vAlign w:val="center"/>
          </w:tcPr>
          <w:p w14:paraId="482C495C" w14:textId="77777777" w:rsidR="0018152B" w:rsidRPr="00530D27" w:rsidRDefault="0018152B" w:rsidP="00DC7EDC">
            <w:pPr>
              <w:spacing w:before="60" w:after="60"/>
              <w:rPr>
                <w:rFonts w:cstheme="minorHAnsi"/>
              </w:rPr>
            </w:pPr>
          </w:p>
        </w:tc>
        <w:tc>
          <w:tcPr>
            <w:tcW w:w="4244" w:type="dxa"/>
            <w:vAlign w:val="center"/>
          </w:tcPr>
          <w:p w14:paraId="59758356" w14:textId="2DFAA274" w:rsidR="0018152B" w:rsidRPr="00530D27" w:rsidRDefault="0018152B" w:rsidP="00DC7EDC">
            <w:pPr>
              <w:spacing w:before="60" w:after="60"/>
              <w:rPr>
                <w:rFonts w:cstheme="minorHAnsi"/>
              </w:rPr>
            </w:pPr>
            <w:r w:rsidRPr="00530D27">
              <w:rPr>
                <w:rFonts w:cstheme="minorHAnsi"/>
              </w:rPr>
              <w:t>Finanzbuchführung</w:t>
            </w:r>
          </w:p>
        </w:tc>
        <w:tc>
          <w:tcPr>
            <w:tcW w:w="864" w:type="dxa"/>
          </w:tcPr>
          <w:p w14:paraId="0C3C67CA" w14:textId="77777777" w:rsidR="0018152B" w:rsidRPr="00530D27" w:rsidRDefault="0018152B" w:rsidP="00DC7EDC">
            <w:pPr>
              <w:spacing w:before="60" w:after="60"/>
              <w:rPr>
                <w:rFonts w:cstheme="minorHAnsi"/>
              </w:rPr>
            </w:pPr>
          </w:p>
        </w:tc>
        <w:tc>
          <w:tcPr>
            <w:tcW w:w="789" w:type="dxa"/>
          </w:tcPr>
          <w:p w14:paraId="0466794B" w14:textId="77777777" w:rsidR="0018152B" w:rsidRPr="00530D27" w:rsidRDefault="0018152B" w:rsidP="00DC7EDC">
            <w:pPr>
              <w:spacing w:before="60" w:after="60"/>
              <w:rPr>
                <w:rFonts w:cstheme="minorHAnsi"/>
              </w:rPr>
            </w:pPr>
          </w:p>
        </w:tc>
        <w:tc>
          <w:tcPr>
            <w:tcW w:w="1106" w:type="dxa"/>
          </w:tcPr>
          <w:p w14:paraId="6A47DB9B" w14:textId="77777777" w:rsidR="0018152B" w:rsidRPr="00530D27" w:rsidRDefault="0018152B" w:rsidP="00DC7EDC">
            <w:pPr>
              <w:spacing w:before="60" w:after="60"/>
              <w:rPr>
                <w:rFonts w:cstheme="minorHAnsi"/>
              </w:rPr>
            </w:pPr>
          </w:p>
        </w:tc>
      </w:tr>
      <w:tr w:rsidR="00530D27" w:rsidRPr="00530D27" w14:paraId="29F5EBF7" w14:textId="77777777" w:rsidTr="00530D27">
        <w:trPr>
          <w:trHeight w:val="262"/>
        </w:trPr>
        <w:tc>
          <w:tcPr>
            <w:tcW w:w="541" w:type="dxa"/>
            <w:vMerge/>
          </w:tcPr>
          <w:p w14:paraId="37C6A8E4" w14:textId="77777777" w:rsidR="0018152B" w:rsidRPr="00530D27" w:rsidRDefault="0018152B" w:rsidP="00DC7EDC">
            <w:pPr>
              <w:spacing w:before="60" w:after="60"/>
              <w:rPr>
                <w:rFonts w:cstheme="minorHAnsi"/>
              </w:rPr>
            </w:pPr>
          </w:p>
        </w:tc>
        <w:tc>
          <w:tcPr>
            <w:tcW w:w="1518" w:type="dxa"/>
            <w:vAlign w:val="center"/>
          </w:tcPr>
          <w:p w14:paraId="29ED9784" w14:textId="77777777" w:rsidR="0018152B" w:rsidRPr="00530D27" w:rsidRDefault="0018152B" w:rsidP="00DC7EDC">
            <w:pPr>
              <w:spacing w:before="60" w:after="60"/>
              <w:rPr>
                <w:rFonts w:cstheme="minorHAnsi"/>
              </w:rPr>
            </w:pPr>
          </w:p>
        </w:tc>
        <w:tc>
          <w:tcPr>
            <w:tcW w:w="4244" w:type="dxa"/>
            <w:vAlign w:val="center"/>
          </w:tcPr>
          <w:p w14:paraId="5B49F4D7" w14:textId="0337189B" w:rsidR="0018152B" w:rsidRPr="00530D27" w:rsidRDefault="0018152B" w:rsidP="00DC7EDC">
            <w:pPr>
              <w:spacing w:before="60" w:after="60"/>
              <w:rPr>
                <w:rFonts w:cstheme="minorHAnsi"/>
              </w:rPr>
            </w:pPr>
            <w:r w:rsidRPr="00530D27">
              <w:rPr>
                <w:rFonts w:cstheme="minorHAnsi"/>
              </w:rPr>
              <w:t>Lohnbuchhaltung</w:t>
            </w:r>
          </w:p>
        </w:tc>
        <w:tc>
          <w:tcPr>
            <w:tcW w:w="864" w:type="dxa"/>
          </w:tcPr>
          <w:p w14:paraId="3F42B6EB" w14:textId="77777777" w:rsidR="0018152B" w:rsidRPr="00530D27" w:rsidRDefault="0018152B" w:rsidP="00DC7EDC">
            <w:pPr>
              <w:spacing w:before="60" w:after="60"/>
              <w:rPr>
                <w:rFonts w:cstheme="minorHAnsi"/>
              </w:rPr>
            </w:pPr>
          </w:p>
        </w:tc>
        <w:tc>
          <w:tcPr>
            <w:tcW w:w="789" w:type="dxa"/>
          </w:tcPr>
          <w:p w14:paraId="7D7034E7" w14:textId="77777777" w:rsidR="0018152B" w:rsidRPr="00530D27" w:rsidRDefault="0018152B" w:rsidP="00DC7EDC">
            <w:pPr>
              <w:spacing w:before="60" w:after="60"/>
              <w:rPr>
                <w:rFonts w:cstheme="minorHAnsi"/>
              </w:rPr>
            </w:pPr>
          </w:p>
        </w:tc>
        <w:tc>
          <w:tcPr>
            <w:tcW w:w="1106" w:type="dxa"/>
          </w:tcPr>
          <w:p w14:paraId="54AA7276" w14:textId="77777777" w:rsidR="0018152B" w:rsidRPr="00530D27" w:rsidRDefault="0018152B" w:rsidP="00DC7EDC">
            <w:pPr>
              <w:spacing w:before="60" w:after="60"/>
              <w:rPr>
                <w:rFonts w:cstheme="minorHAnsi"/>
              </w:rPr>
            </w:pPr>
          </w:p>
        </w:tc>
      </w:tr>
      <w:tr w:rsidR="00530D27" w:rsidRPr="00530D27" w14:paraId="28C83E06" w14:textId="77777777" w:rsidTr="00530D27">
        <w:trPr>
          <w:trHeight w:val="262"/>
        </w:trPr>
        <w:tc>
          <w:tcPr>
            <w:tcW w:w="541" w:type="dxa"/>
            <w:vMerge/>
          </w:tcPr>
          <w:p w14:paraId="5A6A2710" w14:textId="77777777" w:rsidR="0018152B" w:rsidRPr="00530D27" w:rsidRDefault="0018152B" w:rsidP="00DC7EDC">
            <w:pPr>
              <w:spacing w:before="60" w:after="60"/>
              <w:rPr>
                <w:rFonts w:cstheme="minorHAnsi"/>
              </w:rPr>
            </w:pPr>
          </w:p>
        </w:tc>
        <w:tc>
          <w:tcPr>
            <w:tcW w:w="1518" w:type="dxa"/>
            <w:vAlign w:val="center"/>
          </w:tcPr>
          <w:p w14:paraId="7F5C7016" w14:textId="77777777" w:rsidR="0018152B" w:rsidRPr="00530D27" w:rsidRDefault="0018152B" w:rsidP="00DC7EDC">
            <w:pPr>
              <w:spacing w:before="60" w:after="60"/>
              <w:rPr>
                <w:rFonts w:cstheme="minorHAnsi"/>
              </w:rPr>
            </w:pPr>
          </w:p>
        </w:tc>
        <w:tc>
          <w:tcPr>
            <w:tcW w:w="4244" w:type="dxa"/>
            <w:vAlign w:val="center"/>
          </w:tcPr>
          <w:p w14:paraId="356983D4" w14:textId="73B7AB54" w:rsidR="0018152B" w:rsidRPr="00530D27" w:rsidRDefault="0018152B" w:rsidP="00DC7EDC">
            <w:pPr>
              <w:spacing w:before="60" w:after="60"/>
              <w:rPr>
                <w:rFonts w:cstheme="minorHAnsi"/>
              </w:rPr>
            </w:pPr>
            <w:r w:rsidRPr="00530D27">
              <w:rPr>
                <w:rFonts w:cstheme="minorHAnsi"/>
              </w:rPr>
              <w:t>Kassensystem</w:t>
            </w:r>
          </w:p>
        </w:tc>
        <w:tc>
          <w:tcPr>
            <w:tcW w:w="864" w:type="dxa"/>
          </w:tcPr>
          <w:p w14:paraId="2BF32EE3" w14:textId="77777777" w:rsidR="0018152B" w:rsidRPr="00530D27" w:rsidRDefault="0018152B" w:rsidP="00DC7EDC">
            <w:pPr>
              <w:spacing w:before="60" w:after="60"/>
              <w:rPr>
                <w:rFonts w:cstheme="minorHAnsi"/>
              </w:rPr>
            </w:pPr>
          </w:p>
        </w:tc>
        <w:tc>
          <w:tcPr>
            <w:tcW w:w="789" w:type="dxa"/>
          </w:tcPr>
          <w:p w14:paraId="2B5A9042" w14:textId="77777777" w:rsidR="0018152B" w:rsidRPr="00530D27" w:rsidRDefault="0018152B" w:rsidP="00DC7EDC">
            <w:pPr>
              <w:spacing w:before="60" w:after="60"/>
              <w:rPr>
                <w:rFonts w:cstheme="minorHAnsi"/>
              </w:rPr>
            </w:pPr>
          </w:p>
        </w:tc>
        <w:tc>
          <w:tcPr>
            <w:tcW w:w="1106" w:type="dxa"/>
          </w:tcPr>
          <w:p w14:paraId="4C5D0CFE" w14:textId="77777777" w:rsidR="0018152B" w:rsidRPr="00530D27" w:rsidRDefault="0018152B" w:rsidP="00DC7EDC">
            <w:pPr>
              <w:spacing w:before="60" w:after="60"/>
              <w:rPr>
                <w:rFonts w:cstheme="minorHAnsi"/>
              </w:rPr>
            </w:pPr>
          </w:p>
        </w:tc>
      </w:tr>
      <w:tr w:rsidR="00530D27" w:rsidRPr="00530D27" w14:paraId="7CA96065" w14:textId="77777777" w:rsidTr="00530D27">
        <w:trPr>
          <w:trHeight w:val="262"/>
        </w:trPr>
        <w:tc>
          <w:tcPr>
            <w:tcW w:w="541" w:type="dxa"/>
            <w:vMerge/>
          </w:tcPr>
          <w:p w14:paraId="2500262D" w14:textId="77777777" w:rsidR="0018152B" w:rsidRPr="00530D27" w:rsidRDefault="0018152B" w:rsidP="00DC7EDC">
            <w:pPr>
              <w:spacing w:before="60" w:after="60"/>
              <w:rPr>
                <w:rFonts w:cstheme="minorHAnsi"/>
              </w:rPr>
            </w:pPr>
          </w:p>
        </w:tc>
        <w:tc>
          <w:tcPr>
            <w:tcW w:w="1518" w:type="dxa"/>
            <w:vAlign w:val="center"/>
          </w:tcPr>
          <w:p w14:paraId="3CC6894A" w14:textId="77777777" w:rsidR="0018152B" w:rsidRPr="00530D27" w:rsidRDefault="0018152B" w:rsidP="00DC7EDC">
            <w:pPr>
              <w:spacing w:before="60" w:after="60"/>
              <w:rPr>
                <w:rFonts w:cstheme="minorHAnsi"/>
              </w:rPr>
            </w:pPr>
          </w:p>
        </w:tc>
        <w:tc>
          <w:tcPr>
            <w:tcW w:w="4244" w:type="dxa"/>
            <w:vAlign w:val="center"/>
          </w:tcPr>
          <w:p w14:paraId="11C55674" w14:textId="6834981F" w:rsidR="0018152B" w:rsidRPr="00530D27" w:rsidRDefault="0018152B" w:rsidP="00DC7EDC">
            <w:pPr>
              <w:spacing w:before="60" w:after="60"/>
              <w:rPr>
                <w:rFonts w:cstheme="minorHAnsi"/>
              </w:rPr>
            </w:pPr>
            <w:r w:rsidRPr="00530D27">
              <w:rPr>
                <w:rFonts w:cstheme="minorHAnsi"/>
              </w:rPr>
              <w:t>Warenwirtschaftssystem</w:t>
            </w:r>
          </w:p>
        </w:tc>
        <w:tc>
          <w:tcPr>
            <w:tcW w:w="864" w:type="dxa"/>
          </w:tcPr>
          <w:p w14:paraId="5A926C44" w14:textId="77777777" w:rsidR="0018152B" w:rsidRPr="00530D27" w:rsidRDefault="0018152B" w:rsidP="00DC7EDC">
            <w:pPr>
              <w:spacing w:before="60" w:after="60"/>
              <w:rPr>
                <w:rFonts w:cstheme="minorHAnsi"/>
              </w:rPr>
            </w:pPr>
          </w:p>
        </w:tc>
        <w:tc>
          <w:tcPr>
            <w:tcW w:w="789" w:type="dxa"/>
          </w:tcPr>
          <w:p w14:paraId="3E505B86" w14:textId="77777777" w:rsidR="0018152B" w:rsidRPr="00530D27" w:rsidRDefault="0018152B" w:rsidP="00DC7EDC">
            <w:pPr>
              <w:spacing w:before="60" w:after="60"/>
              <w:rPr>
                <w:rFonts w:cstheme="minorHAnsi"/>
              </w:rPr>
            </w:pPr>
          </w:p>
        </w:tc>
        <w:tc>
          <w:tcPr>
            <w:tcW w:w="1106" w:type="dxa"/>
          </w:tcPr>
          <w:p w14:paraId="2BD3EFF5" w14:textId="77777777" w:rsidR="0018152B" w:rsidRPr="00530D27" w:rsidRDefault="0018152B" w:rsidP="00DC7EDC">
            <w:pPr>
              <w:spacing w:before="60" w:after="60"/>
              <w:rPr>
                <w:rFonts w:cstheme="minorHAnsi"/>
              </w:rPr>
            </w:pPr>
          </w:p>
        </w:tc>
      </w:tr>
      <w:tr w:rsidR="00530D27" w:rsidRPr="00530D27" w14:paraId="5AFDA11B" w14:textId="77777777" w:rsidTr="00530D27">
        <w:trPr>
          <w:trHeight w:val="262"/>
        </w:trPr>
        <w:tc>
          <w:tcPr>
            <w:tcW w:w="541" w:type="dxa"/>
            <w:vMerge/>
          </w:tcPr>
          <w:p w14:paraId="08E3ED18" w14:textId="77777777" w:rsidR="0018152B" w:rsidRPr="00530D27" w:rsidRDefault="0018152B" w:rsidP="00DC7EDC">
            <w:pPr>
              <w:spacing w:before="60" w:after="60"/>
              <w:rPr>
                <w:rFonts w:cstheme="minorHAnsi"/>
              </w:rPr>
            </w:pPr>
          </w:p>
        </w:tc>
        <w:tc>
          <w:tcPr>
            <w:tcW w:w="1518" w:type="dxa"/>
            <w:vAlign w:val="center"/>
          </w:tcPr>
          <w:p w14:paraId="5D39F35E" w14:textId="77777777" w:rsidR="0018152B" w:rsidRPr="00530D27" w:rsidRDefault="0018152B" w:rsidP="00DC7EDC">
            <w:pPr>
              <w:spacing w:before="60" w:after="60"/>
              <w:rPr>
                <w:rFonts w:cstheme="minorHAnsi"/>
              </w:rPr>
            </w:pPr>
          </w:p>
        </w:tc>
        <w:tc>
          <w:tcPr>
            <w:tcW w:w="4244" w:type="dxa"/>
            <w:vAlign w:val="center"/>
          </w:tcPr>
          <w:p w14:paraId="2B0B6280" w14:textId="44BCCF87" w:rsidR="0018152B" w:rsidRPr="00530D27" w:rsidRDefault="0018152B" w:rsidP="00DC7EDC">
            <w:pPr>
              <w:spacing w:before="60" w:after="60"/>
              <w:rPr>
                <w:rFonts w:cstheme="minorHAnsi"/>
              </w:rPr>
            </w:pPr>
            <w:r w:rsidRPr="00530D27">
              <w:rPr>
                <w:rFonts w:cstheme="minorHAnsi"/>
              </w:rPr>
              <w:t>Zahlungsverkehr</w:t>
            </w:r>
          </w:p>
        </w:tc>
        <w:tc>
          <w:tcPr>
            <w:tcW w:w="864" w:type="dxa"/>
          </w:tcPr>
          <w:p w14:paraId="6ECE857D" w14:textId="77777777" w:rsidR="0018152B" w:rsidRPr="00530D27" w:rsidRDefault="0018152B" w:rsidP="00DC7EDC">
            <w:pPr>
              <w:spacing w:before="60" w:after="60"/>
              <w:rPr>
                <w:rFonts w:cstheme="minorHAnsi"/>
              </w:rPr>
            </w:pPr>
          </w:p>
        </w:tc>
        <w:tc>
          <w:tcPr>
            <w:tcW w:w="789" w:type="dxa"/>
          </w:tcPr>
          <w:p w14:paraId="03E40712" w14:textId="77777777" w:rsidR="0018152B" w:rsidRPr="00530D27" w:rsidRDefault="0018152B" w:rsidP="00DC7EDC">
            <w:pPr>
              <w:spacing w:before="60" w:after="60"/>
              <w:rPr>
                <w:rFonts w:cstheme="minorHAnsi"/>
              </w:rPr>
            </w:pPr>
          </w:p>
        </w:tc>
        <w:tc>
          <w:tcPr>
            <w:tcW w:w="1106" w:type="dxa"/>
          </w:tcPr>
          <w:p w14:paraId="5DEFFE5A" w14:textId="77777777" w:rsidR="0018152B" w:rsidRPr="00530D27" w:rsidRDefault="0018152B" w:rsidP="00DC7EDC">
            <w:pPr>
              <w:spacing w:before="60" w:after="60"/>
              <w:rPr>
                <w:rFonts w:cstheme="minorHAnsi"/>
              </w:rPr>
            </w:pPr>
          </w:p>
        </w:tc>
      </w:tr>
      <w:tr w:rsidR="00530D27" w:rsidRPr="00530D27" w14:paraId="70E56B0B" w14:textId="77777777" w:rsidTr="00530D27">
        <w:trPr>
          <w:trHeight w:val="262"/>
        </w:trPr>
        <w:tc>
          <w:tcPr>
            <w:tcW w:w="541" w:type="dxa"/>
            <w:vMerge/>
          </w:tcPr>
          <w:p w14:paraId="4F1A5D8D" w14:textId="77777777" w:rsidR="0018152B" w:rsidRPr="00530D27" w:rsidRDefault="0018152B" w:rsidP="00DC7EDC">
            <w:pPr>
              <w:spacing w:before="60" w:after="60"/>
              <w:rPr>
                <w:rFonts w:cstheme="minorHAnsi"/>
              </w:rPr>
            </w:pPr>
          </w:p>
        </w:tc>
        <w:tc>
          <w:tcPr>
            <w:tcW w:w="1518" w:type="dxa"/>
            <w:vAlign w:val="center"/>
          </w:tcPr>
          <w:p w14:paraId="197BE057" w14:textId="77777777" w:rsidR="0018152B" w:rsidRPr="00530D27" w:rsidRDefault="0018152B" w:rsidP="00DC7EDC">
            <w:pPr>
              <w:spacing w:before="60" w:after="60"/>
              <w:rPr>
                <w:rFonts w:cstheme="minorHAnsi"/>
              </w:rPr>
            </w:pPr>
          </w:p>
        </w:tc>
        <w:tc>
          <w:tcPr>
            <w:tcW w:w="4244" w:type="dxa"/>
            <w:vAlign w:val="center"/>
          </w:tcPr>
          <w:p w14:paraId="4183D4C5" w14:textId="1A7247F6" w:rsidR="0018152B" w:rsidRPr="00530D27" w:rsidRDefault="0018152B" w:rsidP="00DC7EDC">
            <w:pPr>
              <w:spacing w:before="60" w:after="60"/>
              <w:rPr>
                <w:rFonts w:cstheme="minorHAnsi"/>
              </w:rPr>
            </w:pPr>
            <w:r w:rsidRPr="00530D27">
              <w:rPr>
                <w:rFonts w:cstheme="minorHAnsi"/>
              </w:rPr>
              <w:t>elektronische Kontoauszüge</w:t>
            </w:r>
          </w:p>
        </w:tc>
        <w:tc>
          <w:tcPr>
            <w:tcW w:w="864" w:type="dxa"/>
          </w:tcPr>
          <w:p w14:paraId="79866EA4" w14:textId="77777777" w:rsidR="0018152B" w:rsidRPr="00530D27" w:rsidRDefault="0018152B" w:rsidP="00DC7EDC">
            <w:pPr>
              <w:spacing w:before="60" w:after="60"/>
              <w:rPr>
                <w:rFonts w:cstheme="minorHAnsi"/>
              </w:rPr>
            </w:pPr>
          </w:p>
        </w:tc>
        <w:tc>
          <w:tcPr>
            <w:tcW w:w="789" w:type="dxa"/>
          </w:tcPr>
          <w:p w14:paraId="354F8B0E" w14:textId="77777777" w:rsidR="0018152B" w:rsidRPr="00530D27" w:rsidRDefault="0018152B" w:rsidP="00DC7EDC">
            <w:pPr>
              <w:spacing w:before="60" w:after="60"/>
              <w:rPr>
                <w:rFonts w:cstheme="minorHAnsi"/>
              </w:rPr>
            </w:pPr>
          </w:p>
        </w:tc>
        <w:tc>
          <w:tcPr>
            <w:tcW w:w="1106" w:type="dxa"/>
          </w:tcPr>
          <w:p w14:paraId="47966D21" w14:textId="77777777" w:rsidR="0018152B" w:rsidRPr="00530D27" w:rsidRDefault="0018152B" w:rsidP="00DC7EDC">
            <w:pPr>
              <w:spacing w:before="60" w:after="60"/>
              <w:rPr>
                <w:rFonts w:cstheme="minorHAnsi"/>
              </w:rPr>
            </w:pPr>
          </w:p>
        </w:tc>
      </w:tr>
      <w:tr w:rsidR="00530D27" w:rsidRPr="00530D27" w14:paraId="54A54523" w14:textId="77777777" w:rsidTr="00530D27">
        <w:trPr>
          <w:trHeight w:val="262"/>
        </w:trPr>
        <w:tc>
          <w:tcPr>
            <w:tcW w:w="541" w:type="dxa"/>
            <w:vMerge/>
          </w:tcPr>
          <w:p w14:paraId="2C487FF4" w14:textId="77777777" w:rsidR="0018152B" w:rsidRPr="00530D27" w:rsidRDefault="0018152B" w:rsidP="00DC7EDC">
            <w:pPr>
              <w:spacing w:before="60" w:after="60"/>
              <w:rPr>
                <w:rFonts w:cstheme="minorHAnsi"/>
              </w:rPr>
            </w:pPr>
          </w:p>
        </w:tc>
        <w:tc>
          <w:tcPr>
            <w:tcW w:w="1518" w:type="dxa"/>
            <w:vAlign w:val="center"/>
          </w:tcPr>
          <w:p w14:paraId="3A2D238C" w14:textId="77777777" w:rsidR="0018152B" w:rsidRPr="00530D27" w:rsidRDefault="0018152B" w:rsidP="00DC7EDC">
            <w:pPr>
              <w:spacing w:before="60" w:after="60"/>
              <w:rPr>
                <w:rFonts w:cstheme="minorHAnsi"/>
              </w:rPr>
            </w:pPr>
          </w:p>
        </w:tc>
        <w:tc>
          <w:tcPr>
            <w:tcW w:w="4244" w:type="dxa"/>
            <w:vAlign w:val="center"/>
          </w:tcPr>
          <w:p w14:paraId="74619053" w14:textId="2D3F5AA5" w:rsidR="0018152B" w:rsidRPr="00530D27" w:rsidRDefault="0018152B" w:rsidP="00DC7EDC">
            <w:pPr>
              <w:spacing w:before="60" w:after="60"/>
              <w:rPr>
                <w:rFonts w:cstheme="minorHAnsi"/>
              </w:rPr>
            </w:pPr>
            <w:r w:rsidRPr="00530D27">
              <w:rPr>
                <w:rFonts w:cstheme="minorHAnsi"/>
              </w:rPr>
              <w:t>Geldspielgeräte</w:t>
            </w:r>
          </w:p>
        </w:tc>
        <w:tc>
          <w:tcPr>
            <w:tcW w:w="864" w:type="dxa"/>
          </w:tcPr>
          <w:p w14:paraId="5DEAB471" w14:textId="77777777" w:rsidR="0018152B" w:rsidRPr="00530D27" w:rsidRDefault="0018152B" w:rsidP="00DC7EDC">
            <w:pPr>
              <w:spacing w:before="60" w:after="60"/>
              <w:rPr>
                <w:rFonts w:cstheme="minorHAnsi"/>
              </w:rPr>
            </w:pPr>
          </w:p>
        </w:tc>
        <w:tc>
          <w:tcPr>
            <w:tcW w:w="789" w:type="dxa"/>
          </w:tcPr>
          <w:p w14:paraId="1019294C" w14:textId="77777777" w:rsidR="0018152B" w:rsidRPr="00530D27" w:rsidRDefault="0018152B" w:rsidP="00DC7EDC">
            <w:pPr>
              <w:spacing w:before="60" w:after="60"/>
              <w:rPr>
                <w:rFonts w:cstheme="minorHAnsi"/>
              </w:rPr>
            </w:pPr>
          </w:p>
        </w:tc>
        <w:tc>
          <w:tcPr>
            <w:tcW w:w="1106" w:type="dxa"/>
          </w:tcPr>
          <w:p w14:paraId="3051FEB5" w14:textId="77777777" w:rsidR="0018152B" w:rsidRPr="00530D27" w:rsidRDefault="0018152B" w:rsidP="00DC7EDC">
            <w:pPr>
              <w:spacing w:before="60" w:after="60"/>
              <w:rPr>
                <w:rFonts w:cstheme="minorHAnsi"/>
              </w:rPr>
            </w:pPr>
          </w:p>
        </w:tc>
      </w:tr>
      <w:tr w:rsidR="00530D27" w:rsidRPr="00530D27" w14:paraId="71994984" w14:textId="77777777" w:rsidTr="00530D27">
        <w:trPr>
          <w:trHeight w:val="262"/>
        </w:trPr>
        <w:tc>
          <w:tcPr>
            <w:tcW w:w="541" w:type="dxa"/>
            <w:vMerge/>
          </w:tcPr>
          <w:p w14:paraId="635A3252" w14:textId="77777777" w:rsidR="0018152B" w:rsidRPr="00530D27" w:rsidRDefault="0018152B" w:rsidP="00DC7EDC">
            <w:pPr>
              <w:spacing w:before="60" w:after="60"/>
              <w:rPr>
                <w:rFonts w:cstheme="minorHAnsi"/>
              </w:rPr>
            </w:pPr>
          </w:p>
        </w:tc>
        <w:tc>
          <w:tcPr>
            <w:tcW w:w="1518" w:type="dxa"/>
            <w:vAlign w:val="center"/>
          </w:tcPr>
          <w:p w14:paraId="58A0CBE4" w14:textId="77777777" w:rsidR="0018152B" w:rsidRPr="00530D27" w:rsidRDefault="0018152B" w:rsidP="00DC7EDC">
            <w:pPr>
              <w:spacing w:before="60" w:after="60"/>
              <w:rPr>
                <w:rFonts w:cstheme="minorHAnsi"/>
              </w:rPr>
            </w:pPr>
          </w:p>
        </w:tc>
        <w:tc>
          <w:tcPr>
            <w:tcW w:w="4244" w:type="dxa"/>
            <w:vAlign w:val="center"/>
          </w:tcPr>
          <w:p w14:paraId="16494F21" w14:textId="72854135" w:rsidR="0018152B" w:rsidRPr="00530D27" w:rsidRDefault="0018152B" w:rsidP="00DC7EDC">
            <w:pPr>
              <w:spacing w:before="60" w:after="60"/>
              <w:rPr>
                <w:rFonts w:cstheme="minorHAnsi"/>
              </w:rPr>
            </w:pPr>
            <w:r w:rsidRPr="00530D27">
              <w:rPr>
                <w:rFonts w:cstheme="minorHAnsi"/>
              </w:rPr>
              <w:t>Taxameter</w:t>
            </w:r>
          </w:p>
        </w:tc>
        <w:tc>
          <w:tcPr>
            <w:tcW w:w="864" w:type="dxa"/>
          </w:tcPr>
          <w:p w14:paraId="156D6894" w14:textId="77777777" w:rsidR="0018152B" w:rsidRPr="00530D27" w:rsidRDefault="0018152B" w:rsidP="00DC7EDC">
            <w:pPr>
              <w:spacing w:before="60" w:after="60"/>
              <w:rPr>
                <w:rFonts w:cstheme="minorHAnsi"/>
              </w:rPr>
            </w:pPr>
          </w:p>
        </w:tc>
        <w:tc>
          <w:tcPr>
            <w:tcW w:w="789" w:type="dxa"/>
          </w:tcPr>
          <w:p w14:paraId="2151A319" w14:textId="77777777" w:rsidR="0018152B" w:rsidRPr="00530D27" w:rsidRDefault="0018152B" w:rsidP="00DC7EDC">
            <w:pPr>
              <w:spacing w:before="60" w:after="60"/>
              <w:rPr>
                <w:rFonts w:cstheme="minorHAnsi"/>
              </w:rPr>
            </w:pPr>
          </w:p>
        </w:tc>
        <w:tc>
          <w:tcPr>
            <w:tcW w:w="1106" w:type="dxa"/>
          </w:tcPr>
          <w:p w14:paraId="53EACBCD" w14:textId="77777777" w:rsidR="0018152B" w:rsidRPr="00530D27" w:rsidRDefault="0018152B" w:rsidP="00DC7EDC">
            <w:pPr>
              <w:spacing w:before="60" w:after="60"/>
              <w:rPr>
                <w:rFonts w:cstheme="minorHAnsi"/>
              </w:rPr>
            </w:pPr>
          </w:p>
        </w:tc>
      </w:tr>
      <w:tr w:rsidR="00530D27" w:rsidRPr="00530D27" w14:paraId="53FEE8FE" w14:textId="77777777" w:rsidTr="00530D27">
        <w:trPr>
          <w:trHeight w:val="262"/>
        </w:trPr>
        <w:tc>
          <w:tcPr>
            <w:tcW w:w="541" w:type="dxa"/>
            <w:vMerge/>
          </w:tcPr>
          <w:p w14:paraId="20A64930" w14:textId="77777777" w:rsidR="0018152B" w:rsidRPr="00530D27" w:rsidRDefault="0018152B" w:rsidP="00DC7EDC">
            <w:pPr>
              <w:spacing w:before="60" w:after="60"/>
              <w:rPr>
                <w:rFonts w:cstheme="minorHAnsi"/>
              </w:rPr>
            </w:pPr>
          </w:p>
        </w:tc>
        <w:tc>
          <w:tcPr>
            <w:tcW w:w="1518" w:type="dxa"/>
            <w:vAlign w:val="center"/>
          </w:tcPr>
          <w:p w14:paraId="3AEBB708" w14:textId="77777777" w:rsidR="0018152B" w:rsidRPr="00530D27" w:rsidRDefault="0018152B" w:rsidP="00DC7EDC">
            <w:pPr>
              <w:spacing w:before="60" w:after="60"/>
              <w:rPr>
                <w:rFonts w:cstheme="minorHAnsi"/>
              </w:rPr>
            </w:pPr>
          </w:p>
        </w:tc>
        <w:tc>
          <w:tcPr>
            <w:tcW w:w="4244" w:type="dxa"/>
            <w:vAlign w:val="center"/>
          </w:tcPr>
          <w:p w14:paraId="2652700F" w14:textId="7D238337" w:rsidR="0018152B" w:rsidRPr="00530D27" w:rsidRDefault="0018152B" w:rsidP="00DC7EDC">
            <w:pPr>
              <w:spacing w:before="60" w:after="60"/>
              <w:rPr>
                <w:rFonts w:cstheme="minorHAnsi"/>
              </w:rPr>
            </w:pPr>
            <w:r w:rsidRPr="00530D27">
              <w:rPr>
                <w:rFonts w:cstheme="minorHAnsi"/>
              </w:rPr>
              <w:t>Zeiterfassungssystemen</w:t>
            </w:r>
          </w:p>
        </w:tc>
        <w:tc>
          <w:tcPr>
            <w:tcW w:w="864" w:type="dxa"/>
          </w:tcPr>
          <w:p w14:paraId="43A1BD13" w14:textId="77777777" w:rsidR="0018152B" w:rsidRPr="00530D27" w:rsidRDefault="0018152B" w:rsidP="00DC7EDC">
            <w:pPr>
              <w:spacing w:before="60" w:after="60"/>
              <w:rPr>
                <w:rFonts w:cstheme="minorHAnsi"/>
              </w:rPr>
            </w:pPr>
          </w:p>
        </w:tc>
        <w:tc>
          <w:tcPr>
            <w:tcW w:w="789" w:type="dxa"/>
          </w:tcPr>
          <w:p w14:paraId="2EDF62A3" w14:textId="77777777" w:rsidR="0018152B" w:rsidRPr="00530D27" w:rsidRDefault="0018152B" w:rsidP="00DC7EDC">
            <w:pPr>
              <w:spacing w:before="60" w:after="60"/>
              <w:rPr>
                <w:rFonts w:cstheme="minorHAnsi"/>
              </w:rPr>
            </w:pPr>
          </w:p>
        </w:tc>
        <w:tc>
          <w:tcPr>
            <w:tcW w:w="1106" w:type="dxa"/>
          </w:tcPr>
          <w:p w14:paraId="4AD7CDCC" w14:textId="77777777" w:rsidR="0018152B" w:rsidRPr="00530D27" w:rsidRDefault="0018152B" w:rsidP="00DC7EDC">
            <w:pPr>
              <w:spacing w:before="60" w:after="60"/>
              <w:rPr>
                <w:rFonts w:cstheme="minorHAnsi"/>
              </w:rPr>
            </w:pPr>
          </w:p>
        </w:tc>
      </w:tr>
      <w:tr w:rsidR="00530D27" w:rsidRPr="00530D27" w14:paraId="09A8AC86" w14:textId="77777777" w:rsidTr="00530D27">
        <w:trPr>
          <w:trHeight w:val="262"/>
        </w:trPr>
        <w:tc>
          <w:tcPr>
            <w:tcW w:w="541" w:type="dxa"/>
            <w:vMerge/>
          </w:tcPr>
          <w:p w14:paraId="753D48F6" w14:textId="77777777" w:rsidR="0018152B" w:rsidRPr="00530D27" w:rsidRDefault="0018152B" w:rsidP="00DC7EDC">
            <w:pPr>
              <w:spacing w:before="60" w:after="60"/>
              <w:rPr>
                <w:rFonts w:cstheme="minorHAnsi"/>
              </w:rPr>
            </w:pPr>
          </w:p>
        </w:tc>
        <w:tc>
          <w:tcPr>
            <w:tcW w:w="1518" w:type="dxa"/>
            <w:vAlign w:val="center"/>
          </w:tcPr>
          <w:p w14:paraId="2FC2863A" w14:textId="77777777" w:rsidR="0018152B" w:rsidRPr="00530D27" w:rsidRDefault="0018152B" w:rsidP="00DC7EDC">
            <w:pPr>
              <w:spacing w:before="60" w:after="60"/>
              <w:rPr>
                <w:rFonts w:cstheme="minorHAnsi"/>
              </w:rPr>
            </w:pPr>
          </w:p>
        </w:tc>
        <w:tc>
          <w:tcPr>
            <w:tcW w:w="4244" w:type="dxa"/>
            <w:vAlign w:val="center"/>
          </w:tcPr>
          <w:p w14:paraId="4B250CC3" w14:textId="566DC3A6" w:rsidR="0018152B" w:rsidRPr="00530D27" w:rsidRDefault="0018152B" w:rsidP="00DC7EDC">
            <w:pPr>
              <w:spacing w:before="60" w:after="60"/>
              <w:rPr>
                <w:rFonts w:cstheme="minorHAnsi"/>
              </w:rPr>
            </w:pPr>
            <w:r w:rsidRPr="00530D27">
              <w:rPr>
                <w:rFonts w:cstheme="minorHAnsi"/>
              </w:rPr>
              <w:t>Dokumentenmanagementsystemen</w:t>
            </w:r>
          </w:p>
        </w:tc>
        <w:tc>
          <w:tcPr>
            <w:tcW w:w="864" w:type="dxa"/>
          </w:tcPr>
          <w:p w14:paraId="6767775E" w14:textId="77777777" w:rsidR="0018152B" w:rsidRPr="00530D27" w:rsidRDefault="0018152B" w:rsidP="00DC7EDC">
            <w:pPr>
              <w:spacing w:before="60" w:after="60"/>
              <w:rPr>
                <w:rFonts w:cstheme="minorHAnsi"/>
              </w:rPr>
            </w:pPr>
          </w:p>
        </w:tc>
        <w:tc>
          <w:tcPr>
            <w:tcW w:w="789" w:type="dxa"/>
          </w:tcPr>
          <w:p w14:paraId="075B4BE2" w14:textId="77777777" w:rsidR="0018152B" w:rsidRPr="00530D27" w:rsidRDefault="0018152B" w:rsidP="00DC7EDC">
            <w:pPr>
              <w:spacing w:before="60" w:after="60"/>
              <w:rPr>
                <w:rFonts w:cstheme="minorHAnsi"/>
              </w:rPr>
            </w:pPr>
          </w:p>
        </w:tc>
        <w:tc>
          <w:tcPr>
            <w:tcW w:w="1106" w:type="dxa"/>
          </w:tcPr>
          <w:p w14:paraId="547AE4CF" w14:textId="77777777" w:rsidR="0018152B" w:rsidRPr="00530D27" w:rsidRDefault="0018152B" w:rsidP="00DC7EDC">
            <w:pPr>
              <w:spacing w:before="60" w:after="60"/>
              <w:rPr>
                <w:rFonts w:cstheme="minorHAnsi"/>
              </w:rPr>
            </w:pPr>
          </w:p>
        </w:tc>
      </w:tr>
      <w:tr w:rsidR="00530D27" w:rsidRPr="00530D27" w14:paraId="56E956DC" w14:textId="77777777" w:rsidTr="00530D27">
        <w:trPr>
          <w:trHeight w:val="262"/>
        </w:trPr>
        <w:tc>
          <w:tcPr>
            <w:tcW w:w="541" w:type="dxa"/>
            <w:vMerge/>
          </w:tcPr>
          <w:p w14:paraId="26EF438F" w14:textId="77777777" w:rsidR="0018152B" w:rsidRPr="00530D27" w:rsidRDefault="0018152B" w:rsidP="00DC7EDC">
            <w:pPr>
              <w:spacing w:before="60" w:after="60"/>
              <w:rPr>
                <w:rFonts w:cstheme="minorHAnsi"/>
              </w:rPr>
            </w:pPr>
          </w:p>
        </w:tc>
        <w:tc>
          <w:tcPr>
            <w:tcW w:w="1518" w:type="dxa"/>
            <w:vAlign w:val="center"/>
          </w:tcPr>
          <w:p w14:paraId="7099DF6D" w14:textId="77777777" w:rsidR="0018152B" w:rsidRPr="00530D27" w:rsidRDefault="0018152B" w:rsidP="00DC7EDC">
            <w:pPr>
              <w:spacing w:before="60" w:after="60"/>
              <w:rPr>
                <w:rFonts w:cstheme="minorHAnsi"/>
              </w:rPr>
            </w:pPr>
          </w:p>
        </w:tc>
        <w:tc>
          <w:tcPr>
            <w:tcW w:w="4244" w:type="dxa"/>
            <w:vAlign w:val="center"/>
          </w:tcPr>
          <w:p w14:paraId="43FF853D" w14:textId="4BF79C15" w:rsidR="0018152B" w:rsidRPr="00530D27" w:rsidRDefault="0018152B" w:rsidP="00DC7EDC">
            <w:pPr>
              <w:spacing w:before="60" w:after="60"/>
              <w:rPr>
                <w:rFonts w:cstheme="minorHAnsi"/>
              </w:rPr>
            </w:pPr>
            <w:r w:rsidRPr="00530D27">
              <w:rPr>
                <w:rFonts w:cstheme="minorHAnsi"/>
              </w:rPr>
              <w:t>Kostenrechnungssysteme</w:t>
            </w:r>
          </w:p>
        </w:tc>
        <w:tc>
          <w:tcPr>
            <w:tcW w:w="864" w:type="dxa"/>
          </w:tcPr>
          <w:p w14:paraId="3CA74928" w14:textId="77777777" w:rsidR="0018152B" w:rsidRPr="00530D27" w:rsidRDefault="0018152B" w:rsidP="00DC7EDC">
            <w:pPr>
              <w:spacing w:before="60" w:after="60"/>
              <w:rPr>
                <w:rFonts w:cstheme="minorHAnsi"/>
              </w:rPr>
            </w:pPr>
          </w:p>
        </w:tc>
        <w:tc>
          <w:tcPr>
            <w:tcW w:w="789" w:type="dxa"/>
          </w:tcPr>
          <w:p w14:paraId="78AE4EC2" w14:textId="77777777" w:rsidR="0018152B" w:rsidRPr="00530D27" w:rsidRDefault="0018152B" w:rsidP="00DC7EDC">
            <w:pPr>
              <w:spacing w:before="60" w:after="60"/>
              <w:rPr>
                <w:rFonts w:cstheme="minorHAnsi"/>
              </w:rPr>
            </w:pPr>
          </w:p>
        </w:tc>
        <w:tc>
          <w:tcPr>
            <w:tcW w:w="1106" w:type="dxa"/>
          </w:tcPr>
          <w:p w14:paraId="52105067" w14:textId="77777777" w:rsidR="0018152B" w:rsidRPr="00530D27" w:rsidRDefault="0018152B" w:rsidP="00DC7EDC">
            <w:pPr>
              <w:spacing w:before="60" w:after="60"/>
              <w:rPr>
                <w:rFonts w:cstheme="minorHAnsi"/>
              </w:rPr>
            </w:pPr>
          </w:p>
        </w:tc>
      </w:tr>
      <w:tr w:rsidR="00530D27" w:rsidRPr="00530D27" w14:paraId="4E3573E1" w14:textId="77777777" w:rsidTr="00530D27">
        <w:trPr>
          <w:trHeight w:val="262"/>
        </w:trPr>
        <w:tc>
          <w:tcPr>
            <w:tcW w:w="541" w:type="dxa"/>
            <w:vMerge/>
          </w:tcPr>
          <w:p w14:paraId="4193D984" w14:textId="77777777" w:rsidR="00AD6883" w:rsidRPr="00530D27" w:rsidRDefault="00AD6883" w:rsidP="00DC7EDC">
            <w:pPr>
              <w:spacing w:before="60" w:after="60"/>
              <w:rPr>
                <w:rFonts w:cstheme="minorHAnsi"/>
              </w:rPr>
            </w:pPr>
          </w:p>
        </w:tc>
        <w:tc>
          <w:tcPr>
            <w:tcW w:w="1518" w:type="dxa"/>
            <w:vAlign w:val="center"/>
          </w:tcPr>
          <w:p w14:paraId="600C8540" w14:textId="77777777" w:rsidR="00AD6883" w:rsidRPr="00530D27" w:rsidRDefault="00AD6883" w:rsidP="00DC7EDC">
            <w:pPr>
              <w:spacing w:before="60" w:after="60"/>
              <w:rPr>
                <w:rFonts w:cstheme="minorHAnsi"/>
              </w:rPr>
            </w:pPr>
          </w:p>
        </w:tc>
        <w:tc>
          <w:tcPr>
            <w:tcW w:w="4244" w:type="dxa"/>
            <w:vAlign w:val="center"/>
          </w:tcPr>
          <w:p w14:paraId="5B60E275" w14:textId="1CD96CAC" w:rsidR="00AD6883" w:rsidRPr="00530D27" w:rsidRDefault="00AD6883" w:rsidP="00DC7EDC">
            <w:pPr>
              <w:spacing w:before="60" w:after="60"/>
              <w:rPr>
                <w:rFonts w:cstheme="minorHAnsi"/>
              </w:rPr>
            </w:pPr>
            <w:r w:rsidRPr="00530D27">
              <w:rPr>
                <w:rFonts w:cstheme="minorHAnsi"/>
              </w:rPr>
              <w:t>Cloudlösungen</w:t>
            </w:r>
          </w:p>
        </w:tc>
        <w:tc>
          <w:tcPr>
            <w:tcW w:w="864" w:type="dxa"/>
          </w:tcPr>
          <w:p w14:paraId="2EDC8629" w14:textId="77777777" w:rsidR="00AD6883" w:rsidRPr="00530D27" w:rsidRDefault="00AD6883" w:rsidP="00DC7EDC">
            <w:pPr>
              <w:spacing w:before="60" w:after="60"/>
              <w:rPr>
                <w:rFonts w:cstheme="minorHAnsi"/>
              </w:rPr>
            </w:pPr>
          </w:p>
        </w:tc>
        <w:tc>
          <w:tcPr>
            <w:tcW w:w="789" w:type="dxa"/>
          </w:tcPr>
          <w:p w14:paraId="5D139CB3" w14:textId="77777777" w:rsidR="00AD6883" w:rsidRPr="00530D27" w:rsidRDefault="00AD6883" w:rsidP="00DC7EDC">
            <w:pPr>
              <w:spacing w:before="60" w:after="60"/>
              <w:rPr>
                <w:rFonts w:cstheme="minorHAnsi"/>
              </w:rPr>
            </w:pPr>
          </w:p>
        </w:tc>
        <w:tc>
          <w:tcPr>
            <w:tcW w:w="1106" w:type="dxa"/>
          </w:tcPr>
          <w:p w14:paraId="546F55A5" w14:textId="77777777" w:rsidR="00AD6883" w:rsidRPr="00530D27" w:rsidRDefault="00AD6883" w:rsidP="00DC7EDC">
            <w:pPr>
              <w:spacing w:before="60" w:after="60"/>
              <w:rPr>
                <w:rFonts w:cstheme="minorHAnsi"/>
              </w:rPr>
            </w:pPr>
          </w:p>
        </w:tc>
      </w:tr>
      <w:tr w:rsidR="00530D27" w:rsidRPr="00530D27" w14:paraId="6AAC1FE0" w14:textId="77777777" w:rsidTr="00530D27">
        <w:trPr>
          <w:trHeight w:val="262"/>
        </w:trPr>
        <w:tc>
          <w:tcPr>
            <w:tcW w:w="541" w:type="dxa"/>
            <w:vMerge/>
          </w:tcPr>
          <w:p w14:paraId="5383F6A1" w14:textId="77777777" w:rsidR="0018152B" w:rsidRPr="00530D27" w:rsidRDefault="0018152B" w:rsidP="00DC7EDC">
            <w:pPr>
              <w:spacing w:before="60" w:after="60"/>
              <w:rPr>
                <w:rFonts w:cstheme="minorHAnsi"/>
              </w:rPr>
            </w:pPr>
          </w:p>
        </w:tc>
        <w:tc>
          <w:tcPr>
            <w:tcW w:w="1518" w:type="dxa"/>
            <w:vAlign w:val="center"/>
          </w:tcPr>
          <w:p w14:paraId="0899642B" w14:textId="77777777" w:rsidR="0018152B" w:rsidRPr="00530D27" w:rsidRDefault="0018152B" w:rsidP="00DC7EDC">
            <w:pPr>
              <w:spacing w:before="60" w:after="60"/>
              <w:rPr>
                <w:rFonts w:cstheme="minorHAnsi"/>
              </w:rPr>
            </w:pPr>
          </w:p>
        </w:tc>
        <w:tc>
          <w:tcPr>
            <w:tcW w:w="4244" w:type="dxa"/>
            <w:vAlign w:val="center"/>
          </w:tcPr>
          <w:p w14:paraId="7FA48BC0" w14:textId="752BB73B" w:rsidR="0018152B" w:rsidRPr="00530D27" w:rsidRDefault="0018152B" w:rsidP="00DC7EDC">
            <w:pPr>
              <w:spacing w:before="60" w:after="60"/>
              <w:rPr>
                <w:rFonts w:cstheme="minorHAnsi"/>
              </w:rPr>
            </w:pPr>
            <w:r w:rsidRPr="00530D27">
              <w:rPr>
                <w:rFonts w:cstheme="minorHAnsi"/>
              </w:rPr>
              <w:t>usw.</w:t>
            </w:r>
          </w:p>
        </w:tc>
        <w:tc>
          <w:tcPr>
            <w:tcW w:w="864" w:type="dxa"/>
          </w:tcPr>
          <w:p w14:paraId="6692458D" w14:textId="77777777" w:rsidR="0018152B" w:rsidRPr="00530D27" w:rsidRDefault="0018152B" w:rsidP="00DC7EDC">
            <w:pPr>
              <w:spacing w:before="60" w:after="60"/>
              <w:rPr>
                <w:rFonts w:cstheme="minorHAnsi"/>
              </w:rPr>
            </w:pPr>
          </w:p>
        </w:tc>
        <w:tc>
          <w:tcPr>
            <w:tcW w:w="789" w:type="dxa"/>
          </w:tcPr>
          <w:p w14:paraId="1483155B" w14:textId="77777777" w:rsidR="0018152B" w:rsidRPr="00530D27" w:rsidRDefault="0018152B" w:rsidP="00DC7EDC">
            <w:pPr>
              <w:spacing w:before="60" w:after="60"/>
              <w:rPr>
                <w:rFonts w:cstheme="minorHAnsi"/>
              </w:rPr>
            </w:pPr>
          </w:p>
        </w:tc>
        <w:tc>
          <w:tcPr>
            <w:tcW w:w="1106" w:type="dxa"/>
          </w:tcPr>
          <w:p w14:paraId="03D70374" w14:textId="77777777" w:rsidR="0018152B" w:rsidRPr="00530D27" w:rsidRDefault="0018152B" w:rsidP="00DC7EDC">
            <w:pPr>
              <w:spacing w:before="60" w:after="60"/>
              <w:rPr>
                <w:rFonts w:cstheme="minorHAnsi"/>
              </w:rPr>
            </w:pPr>
          </w:p>
        </w:tc>
      </w:tr>
      <w:tr w:rsidR="00530D27" w:rsidRPr="00530D27" w14:paraId="79561233" w14:textId="77777777" w:rsidTr="00530D27">
        <w:tc>
          <w:tcPr>
            <w:tcW w:w="541" w:type="dxa"/>
          </w:tcPr>
          <w:p w14:paraId="0560FFF1" w14:textId="77777777" w:rsidR="00DE45DB" w:rsidRPr="00530D27" w:rsidRDefault="00DE45DB" w:rsidP="00DC7EDC">
            <w:pPr>
              <w:spacing w:before="60" w:after="60"/>
              <w:rPr>
                <w:rFonts w:cstheme="minorHAnsi"/>
              </w:rPr>
            </w:pPr>
            <w:r w:rsidRPr="00530D27">
              <w:rPr>
                <w:rFonts w:cstheme="minorHAnsi"/>
              </w:rPr>
              <w:t>2</w:t>
            </w:r>
          </w:p>
        </w:tc>
        <w:tc>
          <w:tcPr>
            <w:tcW w:w="5762" w:type="dxa"/>
            <w:gridSpan w:val="2"/>
            <w:vAlign w:val="center"/>
          </w:tcPr>
          <w:p w14:paraId="75476D81" w14:textId="04601CF1" w:rsidR="00DE45DB" w:rsidRPr="00530D27" w:rsidRDefault="00DE45DB" w:rsidP="00DC7EDC">
            <w:pPr>
              <w:spacing w:before="60" w:after="60"/>
              <w:rPr>
                <w:rFonts w:cstheme="minorHAnsi"/>
              </w:rPr>
            </w:pPr>
            <w:r w:rsidRPr="00530D27">
              <w:rPr>
                <w:rFonts w:cstheme="minorHAnsi"/>
              </w:rPr>
              <w:t>Ist sichergestellt, dass bei allen Hardwaresystemen, bei sämtlicher eingesetzter Software usw. eine ausreichende Dokumentation der Systeme/Software vorliegt und werden auch deren nachträglichen Änderungen protokolliert?</w:t>
            </w:r>
          </w:p>
        </w:tc>
        <w:tc>
          <w:tcPr>
            <w:tcW w:w="864" w:type="dxa"/>
          </w:tcPr>
          <w:p w14:paraId="5040ED77" w14:textId="77777777" w:rsidR="00DE45DB" w:rsidRPr="00530D27" w:rsidRDefault="00DE45DB" w:rsidP="00DC7EDC">
            <w:pPr>
              <w:spacing w:before="60" w:after="60"/>
              <w:rPr>
                <w:rFonts w:cstheme="minorHAnsi"/>
              </w:rPr>
            </w:pPr>
          </w:p>
        </w:tc>
        <w:tc>
          <w:tcPr>
            <w:tcW w:w="789" w:type="dxa"/>
          </w:tcPr>
          <w:p w14:paraId="65E2D4F5" w14:textId="77777777" w:rsidR="00DE45DB" w:rsidRPr="00530D27" w:rsidRDefault="00DE45DB" w:rsidP="00DC7EDC">
            <w:pPr>
              <w:spacing w:before="60" w:after="60"/>
              <w:rPr>
                <w:rFonts w:cstheme="minorHAnsi"/>
              </w:rPr>
            </w:pPr>
          </w:p>
        </w:tc>
        <w:tc>
          <w:tcPr>
            <w:tcW w:w="1106" w:type="dxa"/>
          </w:tcPr>
          <w:p w14:paraId="4A1095F7" w14:textId="240D9DFB" w:rsidR="00DE45DB" w:rsidRPr="00530D27" w:rsidRDefault="00DE45DB" w:rsidP="00DC7EDC">
            <w:pPr>
              <w:spacing w:before="60" w:after="60"/>
              <w:rPr>
                <w:rFonts w:cstheme="minorHAnsi"/>
              </w:rPr>
            </w:pPr>
          </w:p>
        </w:tc>
      </w:tr>
      <w:tr w:rsidR="00530D27" w:rsidRPr="00530D27" w14:paraId="78783CEA" w14:textId="77777777" w:rsidTr="00530D27">
        <w:tc>
          <w:tcPr>
            <w:tcW w:w="541" w:type="dxa"/>
          </w:tcPr>
          <w:p w14:paraId="760516D3" w14:textId="54261CB7" w:rsidR="00DE45DB" w:rsidRPr="00530D27" w:rsidRDefault="00DE45DB" w:rsidP="00DC7EDC">
            <w:pPr>
              <w:spacing w:before="60" w:after="60"/>
              <w:rPr>
                <w:rFonts w:cstheme="minorHAnsi"/>
              </w:rPr>
            </w:pPr>
            <w:r w:rsidRPr="00530D27">
              <w:rPr>
                <w:rFonts w:cstheme="minorHAnsi"/>
              </w:rPr>
              <w:t>3</w:t>
            </w:r>
          </w:p>
        </w:tc>
        <w:tc>
          <w:tcPr>
            <w:tcW w:w="5762" w:type="dxa"/>
            <w:gridSpan w:val="2"/>
            <w:vAlign w:val="center"/>
          </w:tcPr>
          <w:p w14:paraId="3C4996DC" w14:textId="36ED3C7D" w:rsidR="00DE45DB" w:rsidRPr="00530D27" w:rsidRDefault="00DE45DB" w:rsidP="00DC7EDC">
            <w:pPr>
              <w:spacing w:before="60" w:after="60"/>
              <w:rPr>
                <w:rFonts w:cstheme="minorHAnsi"/>
              </w:rPr>
            </w:pPr>
            <w:r w:rsidRPr="00530D27">
              <w:rPr>
                <w:rFonts w:cstheme="minorHAnsi"/>
              </w:rPr>
              <w:t>Wird der Umgang mit Belegen und Daten durch entsprechende Verfahrens</w:t>
            </w:r>
            <w:r w:rsidR="00143ABD" w:rsidRPr="00530D27">
              <w:rPr>
                <w:rFonts w:cstheme="minorHAnsi"/>
              </w:rPr>
              <w:t>dokumentationen</w:t>
            </w:r>
            <w:r w:rsidRPr="00530D27">
              <w:rPr>
                <w:rFonts w:cstheme="minorHAnsi"/>
              </w:rPr>
              <w:t xml:space="preserve"> im Unternehmen geregelt?</w:t>
            </w:r>
          </w:p>
        </w:tc>
        <w:tc>
          <w:tcPr>
            <w:tcW w:w="864" w:type="dxa"/>
          </w:tcPr>
          <w:p w14:paraId="6E2D59A6" w14:textId="77777777" w:rsidR="00DE45DB" w:rsidRPr="00530D27" w:rsidRDefault="00DE45DB" w:rsidP="00DC7EDC">
            <w:pPr>
              <w:spacing w:before="60" w:after="60"/>
              <w:rPr>
                <w:rFonts w:cstheme="minorHAnsi"/>
              </w:rPr>
            </w:pPr>
          </w:p>
        </w:tc>
        <w:tc>
          <w:tcPr>
            <w:tcW w:w="789" w:type="dxa"/>
          </w:tcPr>
          <w:p w14:paraId="5CD52C70" w14:textId="77777777" w:rsidR="00DE45DB" w:rsidRPr="00530D27" w:rsidRDefault="00DE45DB" w:rsidP="00DC7EDC">
            <w:pPr>
              <w:spacing w:before="60" w:after="60"/>
              <w:rPr>
                <w:rFonts w:cstheme="minorHAnsi"/>
              </w:rPr>
            </w:pPr>
          </w:p>
        </w:tc>
        <w:tc>
          <w:tcPr>
            <w:tcW w:w="1106" w:type="dxa"/>
          </w:tcPr>
          <w:p w14:paraId="7916BDB2" w14:textId="77777777" w:rsidR="00DE45DB" w:rsidRPr="00530D27" w:rsidRDefault="00DE45DB" w:rsidP="00DC7EDC">
            <w:pPr>
              <w:spacing w:before="60" w:after="60"/>
              <w:rPr>
                <w:rFonts w:cstheme="minorHAnsi"/>
              </w:rPr>
            </w:pPr>
          </w:p>
        </w:tc>
      </w:tr>
      <w:tr w:rsidR="00530D27" w:rsidRPr="00530D27" w14:paraId="79D3F3F7" w14:textId="77777777" w:rsidTr="00530D27">
        <w:tc>
          <w:tcPr>
            <w:tcW w:w="541" w:type="dxa"/>
          </w:tcPr>
          <w:p w14:paraId="5E38811F" w14:textId="53434F94" w:rsidR="004F6104" w:rsidRPr="00530D27" w:rsidRDefault="004F6104" w:rsidP="00DC7EDC">
            <w:pPr>
              <w:spacing w:before="60" w:after="60"/>
              <w:rPr>
                <w:rFonts w:cstheme="minorHAnsi"/>
              </w:rPr>
            </w:pPr>
            <w:r w:rsidRPr="00530D27">
              <w:rPr>
                <w:rFonts w:cstheme="minorHAnsi"/>
              </w:rPr>
              <w:t>4</w:t>
            </w:r>
          </w:p>
        </w:tc>
        <w:tc>
          <w:tcPr>
            <w:tcW w:w="5762" w:type="dxa"/>
            <w:gridSpan w:val="2"/>
            <w:vAlign w:val="center"/>
          </w:tcPr>
          <w:p w14:paraId="38BE75F4" w14:textId="361004B3" w:rsidR="004F6104" w:rsidRPr="00530D27" w:rsidRDefault="004F6104" w:rsidP="00DC7EDC">
            <w:pPr>
              <w:spacing w:before="60" w:after="60"/>
              <w:rPr>
                <w:rFonts w:cstheme="minorHAnsi"/>
              </w:rPr>
            </w:pPr>
            <w:r w:rsidRPr="00530D27">
              <w:rPr>
                <w:rFonts w:cstheme="minorHAnsi"/>
              </w:rPr>
              <w:t xml:space="preserve">Nutzt der Mandant das </w:t>
            </w:r>
            <w:r w:rsidR="00D12D4D" w:rsidRPr="00530D27">
              <w:rPr>
                <w:rFonts w:cstheme="minorHAnsi"/>
              </w:rPr>
              <w:t xml:space="preserve">bildliche Erfassen von </w:t>
            </w:r>
            <w:r w:rsidR="00883035" w:rsidRPr="00530D27">
              <w:rPr>
                <w:rFonts w:cstheme="minorHAnsi"/>
              </w:rPr>
              <w:t>Papierdokumenten</w:t>
            </w:r>
            <w:r w:rsidR="00D12D4D" w:rsidRPr="00530D27">
              <w:rPr>
                <w:rFonts w:cstheme="minorHAnsi"/>
              </w:rPr>
              <w:t xml:space="preserve"> und liegt deshalb eine entsprechende </w:t>
            </w:r>
            <w:r w:rsidR="00166B99" w:rsidRPr="00530D27">
              <w:rPr>
                <w:rFonts w:cstheme="minorHAnsi"/>
              </w:rPr>
              <w:t>Organisationsanweisung</w:t>
            </w:r>
            <w:r w:rsidR="00D12D4D" w:rsidRPr="00530D27">
              <w:rPr>
                <w:rFonts w:cstheme="minorHAnsi"/>
              </w:rPr>
              <w:t xml:space="preserve"> vor?</w:t>
            </w:r>
          </w:p>
        </w:tc>
        <w:tc>
          <w:tcPr>
            <w:tcW w:w="864" w:type="dxa"/>
          </w:tcPr>
          <w:p w14:paraId="7DBFD67F" w14:textId="77777777" w:rsidR="004F6104" w:rsidRPr="00530D27" w:rsidRDefault="004F6104" w:rsidP="00DC7EDC">
            <w:pPr>
              <w:spacing w:before="60" w:after="60"/>
              <w:rPr>
                <w:rFonts w:cstheme="minorHAnsi"/>
              </w:rPr>
            </w:pPr>
          </w:p>
        </w:tc>
        <w:tc>
          <w:tcPr>
            <w:tcW w:w="789" w:type="dxa"/>
          </w:tcPr>
          <w:p w14:paraId="4394C391" w14:textId="77777777" w:rsidR="004F6104" w:rsidRPr="00530D27" w:rsidRDefault="004F6104" w:rsidP="00DC7EDC">
            <w:pPr>
              <w:spacing w:before="60" w:after="60"/>
              <w:rPr>
                <w:rFonts w:cstheme="minorHAnsi"/>
              </w:rPr>
            </w:pPr>
          </w:p>
        </w:tc>
        <w:tc>
          <w:tcPr>
            <w:tcW w:w="1106" w:type="dxa"/>
          </w:tcPr>
          <w:p w14:paraId="3D1F6E36" w14:textId="77777777" w:rsidR="004F6104" w:rsidRPr="00530D27" w:rsidRDefault="004F6104" w:rsidP="00DC7EDC">
            <w:pPr>
              <w:spacing w:before="60" w:after="60"/>
              <w:rPr>
                <w:rFonts w:cstheme="minorHAnsi"/>
                <w:i/>
              </w:rPr>
            </w:pPr>
          </w:p>
        </w:tc>
      </w:tr>
      <w:tr w:rsidR="00530D27" w:rsidRPr="00530D27" w14:paraId="3720148B" w14:textId="77777777" w:rsidTr="00530D27">
        <w:tc>
          <w:tcPr>
            <w:tcW w:w="541" w:type="dxa"/>
          </w:tcPr>
          <w:p w14:paraId="37C5C289" w14:textId="0391BDE5" w:rsidR="00DE45DB" w:rsidRPr="00530D27" w:rsidRDefault="008D31B0" w:rsidP="00DC7EDC">
            <w:pPr>
              <w:spacing w:before="60" w:after="60"/>
              <w:rPr>
                <w:rFonts w:cstheme="minorHAnsi"/>
              </w:rPr>
            </w:pPr>
            <w:r w:rsidRPr="00530D27">
              <w:rPr>
                <w:rFonts w:cstheme="minorHAnsi"/>
              </w:rPr>
              <w:t>5</w:t>
            </w:r>
          </w:p>
        </w:tc>
        <w:tc>
          <w:tcPr>
            <w:tcW w:w="5762" w:type="dxa"/>
            <w:gridSpan w:val="2"/>
            <w:vAlign w:val="center"/>
          </w:tcPr>
          <w:p w14:paraId="38C4E068" w14:textId="4BB324C7" w:rsidR="00DE45DB" w:rsidRPr="00530D27" w:rsidRDefault="00DE45DB" w:rsidP="00DC7EDC">
            <w:pPr>
              <w:spacing w:before="60" w:after="60"/>
              <w:rPr>
                <w:rFonts w:cstheme="minorHAnsi"/>
              </w:rPr>
            </w:pPr>
            <w:r w:rsidRPr="00530D27">
              <w:rPr>
                <w:rFonts w:cstheme="minorHAnsi"/>
              </w:rPr>
              <w:t>Ist das Rechnungswesen nachvollziehbar, nachprüfbar, vollständig, richtig, zeitgerecht, geordnet und sicher aufbewahrt?</w:t>
            </w:r>
          </w:p>
        </w:tc>
        <w:tc>
          <w:tcPr>
            <w:tcW w:w="864" w:type="dxa"/>
          </w:tcPr>
          <w:p w14:paraId="73E1B910" w14:textId="77777777" w:rsidR="00DE45DB" w:rsidRPr="00530D27" w:rsidRDefault="00DE45DB" w:rsidP="00DC7EDC">
            <w:pPr>
              <w:spacing w:before="60" w:after="60"/>
              <w:rPr>
                <w:rFonts w:cstheme="minorHAnsi"/>
              </w:rPr>
            </w:pPr>
          </w:p>
        </w:tc>
        <w:tc>
          <w:tcPr>
            <w:tcW w:w="789" w:type="dxa"/>
          </w:tcPr>
          <w:p w14:paraId="35859F5D" w14:textId="77777777" w:rsidR="00DE45DB" w:rsidRPr="00530D27" w:rsidRDefault="00DE45DB" w:rsidP="00DC7EDC">
            <w:pPr>
              <w:spacing w:before="60" w:after="60"/>
              <w:rPr>
                <w:rFonts w:cstheme="minorHAnsi"/>
              </w:rPr>
            </w:pPr>
          </w:p>
        </w:tc>
        <w:tc>
          <w:tcPr>
            <w:tcW w:w="1106" w:type="dxa"/>
          </w:tcPr>
          <w:p w14:paraId="623F72B2" w14:textId="39725A42" w:rsidR="00DE45DB" w:rsidRPr="00530D27" w:rsidRDefault="00DE45DB" w:rsidP="00DC7EDC">
            <w:pPr>
              <w:spacing w:before="60" w:after="60"/>
              <w:rPr>
                <w:rFonts w:cstheme="minorHAnsi"/>
                <w:i/>
              </w:rPr>
            </w:pPr>
          </w:p>
        </w:tc>
      </w:tr>
      <w:tr w:rsidR="00530D27" w:rsidRPr="00530D27" w14:paraId="025C5F24" w14:textId="77777777" w:rsidTr="00530D27">
        <w:tc>
          <w:tcPr>
            <w:tcW w:w="541" w:type="dxa"/>
          </w:tcPr>
          <w:p w14:paraId="64C0F854" w14:textId="6102712F" w:rsidR="00DE45DB" w:rsidRPr="00530D27" w:rsidRDefault="008D31B0" w:rsidP="00DC7EDC">
            <w:pPr>
              <w:spacing w:before="60" w:after="60"/>
              <w:rPr>
                <w:rFonts w:cstheme="minorHAnsi"/>
              </w:rPr>
            </w:pPr>
            <w:r w:rsidRPr="00530D27">
              <w:rPr>
                <w:rFonts w:cstheme="minorHAnsi"/>
              </w:rPr>
              <w:t>6</w:t>
            </w:r>
          </w:p>
        </w:tc>
        <w:tc>
          <w:tcPr>
            <w:tcW w:w="5762" w:type="dxa"/>
            <w:gridSpan w:val="2"/>
            <w:vAlign w:val="center"/>
          </w:tcPr>
          <w:p w14:paraId="5A039491" w14:textId="77777777" w:rsidR="00DE45DB" w:rsidRPr="00530D27" w:rsidRDefault="00DE45DB" w:rsidP="00DC7EDC">
            <w:pPr>
              <w:spacing w:before="60" w:after="60"/>
              <w:rPr>
                <w:rFonts w:cstheme="minorHAnsi"/>
              </w:rPr>
            </w:pPr>
            <w:r w:rsidRPr="00530D27">
              <w:rPr>
                <w:rFonts w:cstheme="minorHAnsi"/>
              </w:rPr>
              <w:t>Werden alle Geschäftsvorfälle zeitnah erfasst/gesammelt?</w:t>
            </w:r>
          </w:p>
        </w:tc>
        <w:tc>
          <w:tcPr>
            <w:tcW w:w="864" w:type="dxa"/>
          </w:tcPr>
          <w:p w14:paraId="566767A6" w14:textId="77777777" w:rsidR="00DE45DB" w:rsidRPr="00530D27" w:rsidRDefault="00DE45DB" w:rsidP="00DC7EDC">
            <w:pPr>
              <w:spacing w:before="60" w:after="60"/>
              <w:rPr>
                <w:rFonts w:cstheme="minorHAnsi"/>
              </w:rPr>
            </w:pPr>
          </w:p>
        </w:tc>
        <w:tc>
          <w:tcPr>
            <w:tcW w:w="789" w:type="dxa"/>
          </w:tcPr>
          <w:p w14:paraId="58003780" w14:textId="77777777" w:rsidR="00DE45DB" w:rsidRPr="00530D27" w:rsidRDefault="00DE45DB" w:rsidP="00DC7EDC">
            <w:pPr>
              <w:spacing w:before="60" w:after="60"/>
              <w:rPr>
                <w:rFonts w:cstheme="minorHAnsi"/>
              </w:rPr>
            </w:pPr>
          </w:p>
        </w:tc>
        <w:tc>
          <w:tcPr>
            <w:tcW w:w="1106" w:type="dxa"/>
          </w:tcPr>
          <w:p w14:paraId="1B5E0E6E" w14:textId="72FD7907" w:rsidR="00DE45DB" w:rsidRPr="00530D27" w:rsidRDefault="00DE45DB" w:rsidP="00DC7EDC">
            <w:pPr>
              <w:spacing w:before="60" w:after="60"/>
              <w:rPr>
                <w:rFonts w:cstheme="minorHAnsi"/>
              </w:rPr>
            </w:pPr>
          </w:p>
        </w:tc>
      </w:tr>
      <w:tr w:rsidR="00530D27" w:rsidRPr="00530D27" w14:paraId="0FC2736A" w14:textId="77777777" w:rsidTr="00530D27">
        <w:tc>
          <w:tcPr>
            <w:tcW w:w="541" w:type="dxa"/>
          </w:tcPr>
          <w:p w14:paraId="2CBA9F01" w14:textId="30BB4017" w:rsidR="00DE45DB" w:rsidRPr="00530D27" w:rsidRDefault="008D31B0" w:rsidP="00DC7EDC">
            <w:pPr>
              <w:spacing w:before="60" w:after="60"/>
              <w:rPr>
                <w:rFonts w:cstheme="minorHAnsi"/>
              </w:rPr>
            </w:pPr>
            <w:r w:rsidRPr="00530D27">
              <w:rPr>
                <w:rFonts w:cstheme="minorHAnsi"/>
              </w:rPr>
              <w:t>7</w:t>
            </w:r>
          </w:p>
        </w:tc>
        <w:tc>
          <w:tcPr>
            <w:tcW w:w="5762" w:type="dxa"/>
            <w:gridSpan w:val="2"/>
            <w:vAlign w:val="center"/>
          </w:tcPr>
          <w:p w14:paraId="0E72A251" w14:textId="7677FC44" w:rsidR="00DE45DB" w:rsidRPr="00530D27" w:rsidRDefault="00DE45DB" w:rsidP="00DC7EDC">
            <w:pPr>
              <w:spacing w:before="60" w:after="60"/>
              <w:rPr>
                <w:rFonts w:cstheme="minorHAnsi"/>
              </w:rPr>
            </w:pPr>
            <w:r w:rsidRPr="00530D27">
              <w:rPr>
                <w:rFonts w:cstheme="minorHAnsi"/>
              </w:rPr>
              <w:t>Wird die Buchführung regelmäßig festgeschrieben?</w:t>
            </w:r>
          </w:p>
        </w:tc>
        <w:tc>
          <w:tcPr>
            <w:tcW w:w="864" w:type="dxa"/>
          </w:tcPr>
          <w:p w14:paraId="5EC9A357" w14:textId="77777777" w:rsidR="00DE45DB" w:rsidRPr="00530D27" w:rsidRDefault="00DE45DB" w:rsidP="00DC7EDC">
            <w:pPr>
              <w:spacing w:before="60" w:after="60"/>
              <w:rPr>
                <w:rFonts w:cstheme="minorHAnsi"/>
              </w:rPr>
            </w:pPr>
          </w:p>
        </w:tc>
        <w:tc>
          <w:tcPr>
            <w:tcW w:w="789" w:type="dxa"/>
          </w:tcPr>
          <w:p w14:paraId="788C16FF" w14:textId="77777777" w:rsidR="00DE45DB" w:rsidRPr="00530D27" w:rsidRDefault="00DE45DB" w:rsidP="00DC7EDC">
            <w:pPr>
              <w:spacing w:before="60" w:after="60"/>
              <w:rPr>
                <w:rFonts w:cstheme="minorHAnsi"/>
              </w:rPr>
            </w:pPr>
          </w:p>
        </w:tc>
        <w:tc>
          <w:tcPr>
            <w:tcW w:w="1106" w:type="dxa"/>
          </w:tcPr>
          <w:p w14:paraId="315B1F09" w14:textId="011906B2" w:rsidR="00DE45DB" w:rsidRPr="00530D27" w:rsidRDefault="00DE45DB" w:rsidP="00DC7EDC">
            <w:pPr>
              <w:spacing w:before="60" w:after="60"/>
              <w:rPr>
                <w:rFonts w:cstheme="minorHAnsi"/>
              </w:rPr>
            </w:pPr>
          </w:p>
        </w:tc>
      </w:tr>
      <w:tr w:rsidR="00530D27" w:rsidRPr="00530D27" w14:paraId="13684B6C" w14:textId="77777777" w:rsidTr="00530D27">
        <w:tc>
          <w:tcPr>
            <w:tcW w:w="541" w:type="dxa"/>
          </w:tcPr>
          <w:p w14:paraId="31D26680" w14:textId="196E0FCB" w:rsidR="00DE45DB" w:rsidRPr="00530D27" w:rsidRDefault="008D31B0" w:rsidP="00DC7EDC">
            <w:pPr>
              <w:spacing w:before="60" w:after="60"/>
              <w:rPr>
                <w:rFonts w:cstheme="minorHAnsi"/>
              </w:rPr>
            </w:pPr>
            <w:r w:rsidRPr="00530D27">
              <w:rPr>
                <w:rFonts w:cstheme="minorHAnsi"/>
              </w:rPr>
              <w:t>8</w:t>
            </w:r>
          </w:p>
        </w:tc>
        <w:tc>
          <w:tcPr>
            <w:tcW w:w="5762" w:type="dxa"/>
            <w:gridSpan w:val="2"/>
            <w:vAlign w:val="center"/>
          </w:tcPr>
          <w:p w14:paraId="6FB310CB" w14:textId="2482AC0B" w:rsidR="00DE45DB" w:rsidRPr="00530D27" w:rsidRDefault="00DE45DB" w:rsidP="00DC7EDC">
            <w:pPr>
              <w:spacing w:before="60" w:after="60"/>
              <w:rPr>
                <w:rFonts w:cstheme="minorHAnsi"/>
              </w:rPr>
            </w:pPr>
            <w:r w:rsidRPr="00530D27">
              <w:rPr>
                <w:rFonts w:cstheme="minorHAnsi"/>
              </w:rPr>
              <w:t>Werden sämtliche elektronischen Daten (siehe 1) revisionssicher</w:t>
            </w:r>
            <w:r w:rsidR="00E90332" w:rsidRPr="00530D27">
              <w:rPr>
                <w:rFonts w:cstheme="minorHAnsi"/>
              </w:rPr>
              <w:t>, d.</w:t>
            </w:r>
            <w:r w:rsidR="00DC7EDC" w:rsidRPr="00530D27">
              <w:rPr>
                <w:rFonts w:cstheme="minorHAnsi"/>
              </w:rPr>
              <w:t> </w:t>
            </w:r>
            <w:r w:rsidR="00E90332" w:rsidRPr="00530D27">
              <w:rPr>
                <w:rFonts w:cstheme="minorHAnsi"/>
              </w:rPr>
              <w:t xml:space="preserve">h. </w:t>
            </w:r>
            <w:r w:rsidRPr="00530D27">
              <w:rPr>
                <w:rFonts w:cstheme="minorHAnsi"/>
              </w:rPr>
              <w:t>unveränderbar</w:t>
            </w:r>
            <w:r w:rsidR="00E90332" w:rsidRPr="00530D27">
              <w:rPr>
                <w:rFonts w:cstheme="minorHAnsi"/>
              </w:rPr>
              <w:t xml:space="preserve">, </w:t>
            </w:r>
            <w:r w:rsidRPr="00530D27">
              <w:rPr>
                <w:rFonts w:cstheme="minorHAnsi"/>
              </w:rPr>
              <w:t>gespeichert?</w:t>
            </w:r>
          </w:p>
        </w:tc>
        <w:tc>
          <w:tcPr>
            <w:tcW w:w="864" w:type="dxa"/>
          </w:tcPr>
          <w:p w14:paraId="439822D9" w14:textId="77777777" w:rsidR="00DE45DB" w:rsidRPr="00530D27" w:rsidRDefault="00DE45DB" w:rsidP="00DC7EDC">
            <w:pPr>
              <w:spacing w:before="60" w:after="60"/>
              <w:rPr>
                <w:rFonts w:cstheme="minorHAnsi"/>
              </w:rPr>
            </w:pPr>
          </w:p>
        </w:tc>
        <w:tc>
          <w:tcPr>
            <w:tcW w:w="789" w:type="dxa"/>
          </w:tcPr>
          <w:p w14:paraId="3E7DB646" w14:textId="77777777" w:rsidR="00DE45DB" w:rsidRPr="00530D27" w:rsidRDefault="00DE45DB" w:rsidP="00DC7EDC">
            <w:pPr>
              <w:spacing w:before="60" w:after="60"/>
              <w:rPr>
                <w:rFonts w:cstheme="minorHAnsi"/>
              </w:rPr>
            </w:pPr>
          </w:p>
        </w:tc>
        <w:tc>
          <w:tcPr>
            <w:tcW w:w="1106" w:type="dxa"/>
          </w:tcPr>
          <w:p w14:paraId="77C6744B" w14:textId="38228599" w:rsidR="00DE45DB" w:rsidRPr="00530D27" w:rsidRDefault="00DE45DB" w:rsidP="00DC7EDC">
            <w:pPr>
              <w:spacing w:before="60" w:after="60"/>
              <w:rPr>
                <w:rFonts w:cstheme="minorHAnsi"/>
              </w:rPr>
            </w:pPr>
          </w:p>
        </w:tc>
      </w:tr>
      <w:tr w:rsidR="00530D27" w:rsidRPr="00530D27" w14:paraId="01C8FBDE" w14:textId="77777777" w:rsidTr="00530D27">
        <w:tc>
          <w:tcPr>
            <w:tcW w:w="541" w:type="dxa"/>
          </w:tcPr>
          <w:p w14:paraId="2322308C" w14:textId="48FBF035" w:rsidR="00DE45DB" w:rsidRPr="00530D27" w:rsidRDefault="008D31B0" w:rsidP="00DC7EDC">
            <w:pPr>
              <w:spacing w:before="60" w:after="60"/>
              <w:rPr>
                <w:rFonts w:cstheme="minorHAnsi"/>
              </w:rPr>
            </w:pPr>
            <w:r w:rsidRPr="00530D27">
              <w:rPr>
                <w:rFonts w:cstheme="minorHAnsi"/>
              </w:rPr>
              <w:t>9</w:t>
            </w:r>
          </w:p>
        </w:tc>
        <w:tc>
          <w:tcPr>
            <w:tcW w:w="5762" w:type="dxa"/>
            <w:gridSpan w:val="2"/>
            <w:vAlign w:val="center"/>
          </w:tcPr>
          <w:p w14:paraId="71AD3B2E" w14:textId="68A61B63" w:rsidR="00DE45DB" w:rsidRPr="00530D27" w:rsidRDefault="00DE45DB" w:rsidP="00DC7EDC">
            <w:pPr>
              <w:spacing w:before="60" w:after="60"/>
              <w:rPr>
                <w:rFonts w:cstheme="minorHAnsi"/>
              </w:rPr>
            </w:pPr>
            <w:r w:rsidRPr="00530D27">
              <w:rPr>
                <w:rFonts w:cstheme="minorHAnsi"/>
              </w:rPr>
              <w:t xml:space="preserve">Ist sichergestellt, dass alle elektronischen Daten während der Aufbewahrungsfrist (oft </w:t>
            </w:r>
            <w:r w:rsidR="00E90332" w:rsidRPr="00530D27">
              <w:rPr>
                <w:rFonts w:cstheme="minorHAnsi"/>
              </w:rPr>
              <w:t xml:space="preserve">zehn </w:t>
            </w:r>
            <w:r w:rsidRPr="00530D27">
              <w:rPr>
                <w:rFonts w:cstheme="minorHAnsi"/>
              </w:rPr>
              <w:t xml:space="preserve">Jahre) lesbar gemacht werden können? </w:t>
            </w:r>
          </w:p>
        </w:tc>
        <w:tc>
          <w:tcPr>
            <w:tcW w:w="864" w:type="dxa"/>
          </w:tcPr>
          <w:p w14:paraId="1DC44920" w14:textId="77777777" w:rsidR="00DE45DB" w:rsidRPr="00530D27" w:rsidRDefault="00DE45DB" w:rsidP="00DC7EDC">
            <w:pPr>
              <w:spacing w:before="60" w:after="60"/>
              <w:rPr>
                <w:rFonts w:cstheme="minorHAnsi"/>
              </w:rPr>
            </w:pPr>
          </w:p>
        </w:tc>
        <w:tc>
          <w:tcPr>
            <w:tcW w:w="789" w:type="dxa"/>
          </w:tcPr>
          <w:p w14:paraId="0E361C62" w14:textId="77777777" w:rsidR="00DE45DB" w:rsidRPr="00530D27" w:rsidRDefault="00DE45DB" w:rsidP="00DC7EDC">
            <w:pPr>
              <w:spacing w:before="60" w:after="60"/>
              <w:rPr>
                <w:rFonts w:cstheme="minorHAnsi"/>
              </w:rPr>
            </w:pPr>
          </w:p>
        </w:tc>
        <w:tc>
          <w:tcPr>
            <w:tcW w:w="1106" w:type="dxa"/>
          </w:tcPr>
          <w:p w14:paraId="4CEB8137" w14:textId="77777777" w:rsidR="00DE45DB" w:rsidRPr="00530D27" w:rsidRDefault="00DE45DB" w:rsidP="00DC7EDC">
            <w:pPr>
              <w:spacing w:before="60" w:after="60"/>
              <w:rPr>
                <w:rFonts w:cstheme="minorHAnsi"/>
              </w:rPr>
            </w:pPr>
          </w:p>
        </w:tc>
      </w:tr>
      <w:tr w:rsidR="00530D27" w:rsidRPr="00530D27" w14:paraId="4E9A4D85" w14:textId="77777777" w:rsidTr="00530D27">
        <w:tc>
          <w:tcPr>
            <w:tcW w:w="541" w:type="dxa"/>
          </w:tcPr>
          <w:p w14:paraId="167321CF" w14:textId="1BE0AE31" w:rsidR="00DE45DB" w:rsidRPr="00530D27" w:rsidRDefault="008D31B0" w:rsidP="00DC7EDC">
            <w:pPr>
              <w:spacing w:before="60" w:after="60"/>
              <w:rPr>
                <w:rFonts w:cstheme="minorHAnsi"/>
              </w:rPr>
            </w:pPr>
            <w:r w:rsidRPr="00530D27">
              <w:rPr>
                <w:rFonts w:cstheme="minorHAnsi"/>
              </w:rPr>
              <w:t>10</w:t>
            </w:r>
          </w:p>
        </w:tc>
        <w:tc>
          <w:tcPr>
            <w:tcW w:w="5762" w:type="dxa"/>
            <w:gridSpan w:val="2"/>
            <w:vAlign w:val="center"/>
          </w:tcPr>
          <w:p w14:paraId="59E4B17B" w14:textId="2BB057FC" w:rsidR="00DE45DB" w:rsidRPr="00530D27" w:rsidRDefault="00DE45DB" w:rsidP="00DC7EDC">
            <w:pPr>
              <w:spacing w:before="60" w:after="60"/>
              <w:rPr>
                <w:rFonts w:cstheme="minorHAnsi"/>
              </w:rPr>
            </w:pPr>
            <w:r w:rsidRPr="00530D27">
              <w:rPr>
                <w:rFonts w:cstheme="minorHAnsi"/>
              </w:rPr>
              <w:t>Sind Daten und Belege gegen Verlust, Diebstahl und Vernichtung ausreichend gesichert?</w:t>
            </w:r>
          </w:p>
        </w:tc>
        <w:tc>
          <w:tcPr>
            <w:tcW w:w="864" w:type="dxa"/>
          </w:tcPr>
          <w:p w14:paraId="35799DC4" w14:textId="77777777" w:rsidR="00DE45DB" w:rsidRPr="00530D27" w:rsidRDefault="00DE45DB" w:rsidP="00DC7EDC">
            <w:pPr>
              <w:spacing w:before="60" w:after="60"/>
              <w:rPr>
                <w:rFonts w:cstheme="minorHAnsi"/>
              </w:rPr>
            </w:pPr>
          </w:p>
        </w:tc>
        <w:tc>
          <w:tcPr>
            <w:tcW w:w="789" w:type="dxa"/>
          </w:tcPr>
          <w:p w14:paraId="15A63921" w14:textId="77777777" w:rsidR="00DE45DB" w:rsidRPr="00530D27" w:rsidRDefault="00DE45DB" w:rsidP="00DC7EDC">
            <w:pPr>
              <w:spacing w:before="60" w:after="60"/>
              <w:rPr>
                <w:rFonts w:cstheme="minorHAnsi"/>
              </w:rPr>
            </w:pPr>
          </w:p>
        </w:tc>
        <w:tc>
          <w:tcPr>
            <w:tcW w:w="1106" w:type="dxa"/>
          </w:tcPr>
          <w:p w14:paraId="24EA610F" w14:textId="1F6C1B7F" w:rsidR="00DE45DB" w:rsidRPr="00530D27" w:rsidRDefault="00DE45DB" w:rsidP="00DC7EDC">
            <w:pPr>
              <w:spacing w:before="60" w:after="60"/>
              <w:rPr>
                <w:rFonts w:cstheme="minorHAnsi"/>
              </w:rPr>
            </w:pPr>
          </w:p>
        </w:tc>
      </w:tr>
      <w:tr w:rsidR="00530D27" w:rsidRPr="00530D27" w14:paraId="393E2D4B" w14:textId="77777777" w:rsidTr="00530D27">
        <w:tc>
          <w:tcPr>
            <w:tcW w:w="541" w:type="dxa"/>
          </w:tcPr>
          <w:p w14:paraId="109CD5B0" w14:textId="03839414" w:rsidR="00DE45DB" w:rsidRPr="00530D27" w:rsidRDefault="00DE45DB" w:rsidP="00DC7EDC">
            <w:pPr>
              <w:spacing w:before="60" w:after="60"/>
              <w:rPr>
                <w:rFonts w:cstheme="minorHAnsi"/>
              </w:rPr>
            </w:pPr>
            <w:r w:rsidRPr="00530D27">
              <w:rPr>
                <w:rFonts w:cstheme="minorHAnsi"/>
              </w:rPr>
              <w:t>1</w:t>
            </w:r>
            <w:r w:rsidR="008D31B0" w:rsidRPr="00530D27">
              <w:rPr>
                <w:rFonts w:cstheme="minorHAnsi"/>
              </w:rPr>
              <w:t>1</w:t>
            </w:r>
          </w:p>
        </w:tc>
        <w:tc>
          <w:tcPr>
            <w:tcW w:w="5762" w:type="dxa"/>
            <w:gridSpan w:val="2"/>
            <w:vAlign w:val="center"/>
          </w:tcPr>
          <w:p w14:paraId="6BBE89C4" w14:textId="73F75373" w:rsidR="00DE45DB" w:rsidRPr="00530D27" w:rsidRDefault="00DE45DB" w:rsidP="00DC7EDC">
            <w:pPr>
              <w:spacing w:before="60" w:after="60"/>
              <w:rPr>
                <w:rFonts w:cstheme="minorHAnsi"/>
              </w:rPr>
            </w:pPr>
            <w:r w:rsidRPr="00530D27">
              <w:rPr>
                <w:rFonts w:cstheme="minorHAnsi"/>
              </w:rPr>
              <w:t>Werden regelmäßig die elektronischen Daten gesichert?</w:t>
            </w:r>
          </w:p>
        </w:tc>
        <w:tc>
          <w:tcPr>
            <w:tcW w:w="864" w:type="dxa"/>
          </w:tcPr>
          <w:p w14:paraId="07B81353" w14:textId="77777777" w:rsidR="00DE45DB" w:rsidRPr="00530D27" w:rsidRDefault="00DE45DB" w:rsidP="00DC7EDC">
            <w:pPr>
              <w:spacing w:before="60" w:after="60"/>
              <w:rPr>
                <w:rFonts w:cstheme="minorHAnsi"/>
              </w:rPr>
            </w:pPr>
          </w:p>
        </w:tc>
        <w:tc>
          <w:tcPr>
            <w:tcW w:w="789" w:type="dxa"/>
          </w:tcPr>
          <w:p w14:paraId="3BCA1904" w14:textId="77777777" w:rsidR="00DE45DB" w:rsidRPr="00530D27" w:rsidRDefault="00DE45DB" w:rsidP="00DC7EDC">
            <w:pPr>
              <w:spacing w:before="60" w:after="60"/>
              <w:rPr>
                <w:rFonts w:cstheme="minorHAnsi"/>
              </w:rPr>
            </w:pPr>
          </w:p>
        </w:tc>
        <w:tc>
          <w:tcPr>
            <w:tcW w:w="1106" w:type="dxa"/>
          </w:tcPr>
          <w:p w14:paraId="532E7B54" w14:textId="77777777" w:rsidR="00DE45DB" w:rsidRPr="00530D27" w:rsidRDefault="00DE45DB" w:rsidP="00DC7EDC">
            <w:pPr>
              <w:spacing w:before="60" w:after="60"/>
              <w:rPr>
                <w:rFonts w:cstheme="minorHAnsi"/>
              </w:rPr>
            </w:pPr>
          </w:p>
        </w:tc>
      </w:tr>
      <w:tr w:rsidR="00530D27" w:rsidRPr="00530D27" w14:paraId="54485883" w14:textId="77777777" w:rsidTr="00530D27">
        <w:tc>
          <w:tcPr>
            <w:tcW w:w="541" w:type="dxa"/>
          </w:tcPr>
          <w:p w14:paraId="215C5FAE" w14:textId="156399A4" w:rsidR="00DE45DB" w:rsidRPr="00530D27" w:rsidRDefault="00DE45DB" w:rsidP="00DC7EDC">
            <w:pPr>
              <w:spacing w:before="60" w:after="60"/>
              <w:rPr>
                <w:rFonts w:cstheme="minorHAnsi"/>
              </w:rPr>
            </w:pPr>
            <w:r w:rsidRPr="00530D27">
              <w:rPr>
                <w:rFonts w:cstheme="minorHAnsi"/>
              </w:rPr>
              <w:t>1</w:t>
            </w:r>
            <w:r w:rsidR="008D31B0" w:rsidRPr="00530D27">
              <w:rPr>
                <w:rFonts w:cstheme="minorHAnsi"/>
              </w:rPr>
              <w:t>2</w:t>
            </w:r>
          </w:p>
        </w:tc>
        <w:tc>
          <w:tcPr>
            <w:tcW w:w="5762" w:type="dxa"/>
            <w:gridSpan w:val="2"/>
            <w:vAlign w:val="center"/>
          </w:tcPr>
          <w:p w14:paraId="6FCF49FC" w14:textId="440EEA27" w:rsidR="00DE45DB" w:rsidRPr="00530D27" w:rsidRDefault="00DE45DB" w:rsidP="00DC7EDC">
            <w:pPr>
              <w:spacing w:before="60" w:after="60"/>
              <w:rPr>
                <w:rFonts w:cstheme="minorHAnsi"/>
              </w:rPr>
            </w:pPr>
            <w:r w:rsidRPr="00530D27">
              <w:rPr>
                <w:rFonts w:cstheme="minorHAnsi"/>
              </w:rPr>
              <w:t>Ist im Unternehmen ein Internes Kontrollsystem (IKS) eingerichtet, welches die Verfahrensanweisung zum Umgang mit Daten und Belegen kontrolliert und sichert, z.</w:t>
            </w:r>
            <w:r w:rsidR="00DC7EDC" w:rsidRPr="00530D27">
              <w:rPr>
                <w:rFonts w:cstheme="minorHAnsi"/>
              </w:rPr>
              <w:t> </w:t>
            </w:r>
            <w:r w:rsidRPr="00530D27">
              <w:rPr>
                <w:rFonts w:cstheme="minorHAnsi"/>
              </w:rPr>
              <w:t xml:space="preserve">B. durch Zugangskontrollen, Abstimmprotokolle, Benutzerberechtigung oder Vier-Augen-Prinzip? </w:t>
            </w:r>
          </w:p>
        </w:tc>
        <w:tc>
          <w:tcPr>
            <w:tcW w:w="864" w:type="dxa"/>
          </w:tcPr>
          <w:p w14:paraId="7E563617" w14:textId="77777777" w:rsidR="00DE45DB" w:rsidRPr="00530D27" w:rsidRDefault="00DE45DB" w:rsidP="00DC7EDC">
            <w:pPr>
              <w:spacing w:before="60" w:after="60"/>
              <w:rPr>
                <w:rFonts w:cstheme="minorHAnsi"/>
              </w:rPr>
            </w:pPr>
          </w:p>
        </w:tc>
        <w:tc>
          <w:tcPr>
            <w:tcW w:w="789" w:type="dxa"/>
          </w:tcPr>
          <w:p w14:paraId="4C65FFC6" w14:textId="77777777" w:rsidR="00DE45DB" w:rsidRPr="00530D27" w:rsidRDefault="00DE45DB" w:rsidP="00DC7EDC">
            <w:pPr>
              <w:spacing w:before="60" w:after="60"/>
              <w:rPr>
                <w:rFonts w:cstheme="minorHAnsi"/>
              </w:rPr>
            </w:pPr>
          </w:p>
        </w:tc>
        <w:tc>
          <w:tcPr>
            <w:tcW w:w="1106" w:type="dxa"/>
          </w:tcPr>
          <w:p w14:paraId="00122CAB" w14:textId="11679F12" w:rsidR="00DE45DB" w:rsidRPr="00530D27" w:rsidRDefault="00DE45DB" w:rsidP="00DC7EDC">
            <w:pPr>
              <w:spacing w:before="60" w:after="60"/>
              <w:rPr>
                <w:rFonts w:cstheme="minorHAnsi"/>
              </w:rPr>
            </w:pPr>
          </w:p>
        </w:tc>
      </w:tr>
      <w:tr w:rsidR="00530D27" w:rsidRPr="00530D27" w14:paraId="0A9ADF84" w14:textId="77777777" w:rsidTr="00530D27">
        <w:tc>
          <w:tcPr>
            <w:tcW w:w="541" w:type="dxa"/>
          </w:tcPr>
          <w:p w14:paraId="767882DD" w14:textId="7AA4F2BF" w:rsidR="00DE45DB" w:rsidRPr="00530D27" w:rsidRDefault="00DE45DB" w:rsidP="00DC7EDC">
            <w:pPr>
              <w:spacing w:before="60" w:after="60"/>
              <w:rPr>
                <w:rFonts w:cstheme="minorHAnsi"/>
              </w:rPr>
            </w:pPr>
            <w:r w:rsidRPr="00530D27">
              <w:rPr>
                <w:rFonts w:cstheme="minorHAnsi"/>
              </w:rPr>
              <w:t>1</w:t>
            </w:r>
            <w:r w:rsidR="008D31B0" w:rsidRPr="00530D27">
              <w:rPr>
                <w:rFonts w:cstheme="minorHAnsi"/>
              </w:rPr>
              <w:t>3</w:t>
            </w:r>
          </w:p>
        </w:tc>
        <w:tc>
          <w:tcPr>
            <w:tcW w:w="5762" w:type="dxa"/>
            <w:gridSpan w:val="2"/>
            <w:vAlign w:val="center"/>
          </w:tcPr>
          <w:p w14:paraId="084147A2" w14:textId="0B39B0F0" w:rsidR="00DE45DB" w:rsidRPr="00530D27" w:rsidRDefault="00DE45DB" w:rsidP="00DC7EDC">
            <w:pPr>
              <w:spacing w:before="60" w:after="60"/>
              <w:rPr>
                <w:rFonts w:cstheme="minorHAnsi"/>
              </w:rPr>
            </w:pPr>
            <w:r w:rsidRPr="00530D27">
              <w:rPr>
                <w:rFonts w:cstheme="minorHAnsi"/>
              </w:rPr>
              <w:t>Sind Privatdaten von Unternehmer</w:t>
            </w:r>
            <w:r w:rsidR="00E90332" w:rsidRPr="00530D27">
              <w:rPr>
                <w:rFonts w:cstheme="minorHAnsi"/>
              </w:rPr>
              <w:t xml:space="preserve"> </w:t>
            </w:r>
            <w:r w:rsidRPr="00530D27">
              <w:rPr>
                <w:rFonts w:cstheme="minorHAnsi"/>
              </w:rPr>
              <w:t>und Angestellten von den Computern verbannt oder zumindest vor einem Prüferzugriff geschützt (z.</w:t>
            </w:r>
            <w:r w:rsidR="00DC7EDC" w:rsidRPr="00530D27">
              <w:rPr>
                <w:rFonts w:cstheme="minorHAnsi"/>
              </w:rPr>
              <w:t> </w:t>
            </w:r>
            <w:r w:rsidRPr="00530D27">
              <w:rPr>
                <w:rFonts w:cstheme="minorHAnsi"/>
              </w:rPr>
              <w:t xml:space="preserve">B. zweite Festplatte)? </w:t>
            </w:r>
          </w:p>
        </w:tc>
        <w:tc>
          <w:tcPr>
            <w:tcW w:w="864" w:type="dxa"/>
          </w:tcPr>
          <w:p w14:paraId="4B65C254" w14:textId="77777777" w:rsidR="00DE45DB" w:rsidRPr="00530D27" w:rsidRDefault="00DE45DB" w:rsidP="00DC7EDC">
            <w:pPr>
              <w:spacing w:before="60" w:after="60"/>
              <w:rPr>
                <w:rFonts w:cstheme="minorHAnsi"/>
              </w:rPr>
            </w:pPr>
          </w:p>
        </w:tc>
        <w:tc>
          <w:tcPr>
            <w:tcW w:w="789" w:type="dxa"/>
          </w:tcPr>
          <w:p w14:paraId="19DCFE5D" w14:textId="77777777" w:rsidR="00DE45DB" w:rsidRPr="00530D27" w:rsidRDefault="00DE45DB" w:rsidP="00DC7EDC">
            <w:pPr>
              <w:spacing w:before="60" w:after="60"/>
              <w:rPr>
                <w:rFonts w:cstheme="minorHAnsi"/>
              </w:rPr>
            </w:pPr>
          </w:p>
        </w:tc>
        <w:tc>
          <w:tcPr>
            <w:tcW w:w="1106" w:type="dxa"/>
          </w:tcPr>
          <w:p w14:paraId="4C2D8D84" w14:textId="19DAB947" w:rsidR="00DE45DB" w:rsidRPr="00530D27" w:rsidRDefault="00DE45DB" w:rsidP="00DC7EDC">
            <w:pPr>
              <w:spacing w:before="60" w:after="60"/>
              <w:rPr>
                <w:rFonts w:cstheme="minorHAnsi"/>
                <w:i/>
              </w:rPr>
            </w:pPr>
          </w:p>
        </w:tc>
      </w:tr>
      <w:tr w:rsidR="00530D27" w:rsidRPr="00530D27" w14:paraId="476FA752" w14:textId="77777777" w:rsidTr="00530D27">
        <w:tc>
          <w:tcPr>
            <w:tcW w:w="541" w:type="dxa"/>
          </w:tcPr>
          <w:p w14:paraId="316B4A0C" w14:textId="45112E29" w:rsidR="005C3727" w:rsidRPr="00530D27" w:rsidRDefault="005C3727" w:rsidP="00DC7EDC">
            <w:pPr>
              <w:spacing w:before="60" w:after="60"/>
              <w:rPr>
                <w:rFonts w:cstheme="minorHAnsi"/>
              </w:rPr>
            </w:pPr>
            <w:r w:rsidRPr="00530D27">
              <w:rPr>
                <w:rFonts w:cstheme="minorHAnsi"/>
              </w:rPr>
              <w:t>1</w:t>
            </w:r>
            <w:r w:rsidR="008D31B0" w:rsidRPr="00530D27">
              <w:rPr>
                <w:rFonts w:cstheme="minorHAnsi"/>
              </w:rPr>
              <w:t>4</w:t>
            </w:r>
          </w:p>
        </w:tc>
        <w:tc>
          <w:tcPr>
            <w:tcW w:w="5762" w:type="dxa"/>
            <w:gridSpan w:val="2"/>
            <w:vAlign w:val="center"/>
          </w:tcPr>
          <w:p w14:paraId="7C0478FC" w14:textId="36FDEF4C" w:rsidR="005C3727" w:rsidRPr="00530D27" w:rsidRDefault="006779B9" w:rsidP="00DC7EDC">
            <w:pPr>
              <w:spacing w:before="60" w:after="60"/>
              <w:rPr>
                <w:rFonts w:cstheme="minorHAnsi"/>
              </w:rPr>
            </w:pPr>
            <w:r w:rsidRPr="00530D27">
              <w:rPr>
                <w:rFonts w:cstheme="minorHAnsi"/>
              </w:rPr>
              <w:t>Wurde der Mandant über die Zugriffsrechte der Finanzverwaltung informiert?</w:t>
            </w:r>
          </w:p>
        </w:tc>
        <w:tc>
          <w:tcPr>
            <w:tcW w:w="864" w:type="dxa"/>
          </w:tcPr>
          <w:p w14:paraId="52A25874" w14:textId="77777777" w:rsidR="005C3727" w:rsidRPr="00530D27" w:rsidRDefault="005C3727" w:rsidP="00DC7EDC">
            <w:pPr>
              <w:spacing w:before="60" w:after="60"/>
              <w:rPr>
                <w:rFonts w:cstheme="minorHAnsi"/>
              </w:rPr>
            </w:pPr>
          </w:p>
        </w:tc>
        <w:tc>
          <w:tcPr>
            <w:tcW w:w="789" w:type="dxa"/>
          </w:tcPr>
          <w:p w14:paraId="39282C30" w14:textId="77777777" w:rsidR="005C3727" w:rsidRPr="00530D27" w:rsidRDefault="005C3727" w:rsidP="00DC7EDC">
            <w:pPr>
              <w:spacing w:before="60" w:after="60"/>
              <w:rPr>
                <w:rFonts w:cstheme="minorHAnsi"/>
              </w:rPr>
            </w:pPr>
          </w:p>
        </w:tc>
        <w:tc>
          <w:tcPr>
            <w:tcW w:w="1106" w:type="dxa"/>
          </w:tcPr>
          <w:p w14:paraId="5534034E" w14:textId="77777777" w:rsidR="005C3727" w:rsidRPr="00530D27" w:rsidRDefault="005C3727" w:rsidP="00DC7EDC">
            <w:pPr>
              <w:spacing w:before="60" w:after="60"/>
              <w:rPr>
                <w:rFonts w:cstheme="minorHAnsi"/>
                <w:i/>
              </w:rPr>
            </w:pPr>
          </w:p>
        </w:tc>
      </w:tr>
    </w:tbl>
    <w:p w14:paraId="60257294" w14:textId="77777777" w:rsidR="0025628A" w:rsidRPr="00530D27" w:rsidRDefault="0025628A">
      <w:pPr>
        <w:rPr>
          <w:rFonts w:cstheme="minorHAnsi"/>
        </w:rPr>
      </w:pPr>
    </w:p>
    <w:p w14:paraId="0B07A19C" w14:textId="77777777" w:rsidR="007F3A18" w:rsidRPr="00530D27" w:rsidRDefault="007F3A18" w:rsidP="005C1528">
      <w:pPr>
        <w:rPr>
          <w:rFonts w:cstheme="minorHAnsi"/>
          <w:b/>
          <w:u w:val="single"/>
        </w:rPr>
      </w:pPr>
      <w:r w:rsidRPr="00530D27">
        <w:rPr>
          <w:rFonts w:cstheme="minorHAnsi"/>
          <w:b/>
          <w:u w:val="single"/>
        </w:rPr>
        <w:t>Erläuterungen</w:t>
      </w:r>
    </w:p>
    <w:p w14:paraId="3B680D7E" w14:textId="3F45A7B3" w:rsidR="007F3A18" w:rsidRPr="00530D27" w:rsidRDefault="007F3A18" w:rsidP="00DC7EDC">
      <w:pPr>
        <w:spacing w:before="360"/>
        <w:rPr>
          <w:rFonts w:cstheme="minorHAnsi"/>
        </w:rPr>
      </w:pPr>
      <w:r w:rsidRPr="00530D27">
        <w:rPr>
          <w:rFonts w:cstheme="minorHAnsi"/>
          <w:b/>
        </w:rPr>
        <w:t xml:space="preserve">Zu </w:t>
      </w:r>
      <w:r w:rsidR="005C1528" w:rsidRPr="00530D27">
        <w:rPr>
          <w:rFonts w:cstheme="minorHAnsi"/>
          <w:b/>
        </w:rPr>
        <w:t>Frage 1</w:t>
      </w:r>
      <w:r w:rsidR="005C1528" w:rsidRPr="00530D27">
        <w:rPr>
          <w:rFonts w:cstheme="minorHAnsi"/>
        </w:rPr>
        <w:br/>
        <w:t xml:space="preserve">Eine abschließende Aufzählung der betroffenen Belege oder Daten ist im Hinblick auf die Vielschichtigkeit der abzubildenden betrieblichen Vorgänge naturgemäß nicht möglich. Es werden </w:t>
      </w:r>
      <w:r w:rsidR="005C1528" w:rsidRPr="00530D27">
        <w:rPr>
          <w:rFonts w:cstheme="minorHAnsi"/>
        </w:rPr>
        <w:lastRenderedPageBreak/>
        <w:t>aber nicht nur steuerliche Unterlagen</w:t>
      </w:r>
      <w:r w:rsidRPr="00530D27">
        <w:rPr>
          <w:rFonts w:cstheme="minorHAnsi"/>
        </w:rPr>
        <w:t xml:space="preserve"> und </w:t>
      </w:r>
      <w:r w:rsidR="005C1528" w:rsidRPr="00530D27">
        <w:rPr>
          <w:rFonts w:cstheme="minorHAnsi"/>
        </w:rPr>
        <w:t>Daten von den GoBD erfasst, sondern auch außersteuerliche, sofern sie für die Besteuerung eine Bedeutung haben könnten. Zweck dieser Haltung ist die „Nutzbarmachung außersteuerlicher Buchführungs- und Aufzeichnungspflichten für das Steuerrecht“</w:t>
      </w:r>
      <w:r w:rsidRPr="00530D27">
        <w:rPr>
          <w:rFonts w:cstheme="minorHAnsi"/>
        </w:rPr>
        <w:t>. A</w:t>
      </w:r>
      <w:r w:rsidR="005C1528" w:rsidRPr="00530D27">
        <w:rPr>
          <w:rFonts w:cstheme="minorHAnsi"/>
        </w:rPr>
        <w:t xml:space="preserve">nders ausgedrückt geht </w:t>
      </w:r>
      <w:r w:rsidRPr="00530D27">
        <w:rPr>
          <w:rFonts w:cstheme="minorHAnsi"/>
        </w:rPr>
        <w:t xml:space="preserve">es </w:t>
      </w:r>
      <w:r w:rsidR="005C1528" w:rsidRPr="00530D27">
        <w:rPr>
          <w:rFonts w:cstheme="minorHAnsi"/>
        </w:rPr>
        <w:t xml:space="preserve">um die Nutzbarmachung sämtlicher Informationen, die für die Besteuerung eine Rolle spielen könnten. </w:t>
      </w:r>
    </w:p>
    <w:p w14:paraId="70A2C83A" w14:textId="1A35C64B" w:rsidR="005C1528" w:rsidRPr="00530D27" w:rsidRDefault="005C1528" w:rsidP="00DC7EDC">
      <w:pPr>
        <w:spacing w:before="120" w:after="120"/>
        <w:rPr>
          <w:rFonts w:cstheme="minorHAnsi"/>
        </w:rPr>
      </w:pPr>
      <w:r w:rsidRPr="00530D27">
        <w:rPr>
          <w:rFonts w:cstheme="minorHAnsi"/>
        </w:rPr>
        <w:t xml:space="preserve">Weiteres „Einfallstor“ zur Erfassung sämtlicher Unternehmensdaten (in welcher Form auch immer) ist die </w:t>
      </w:r>
      <w:r w:rsidR="00C46FE5" w:rsidRPr="00530D27">
        <w:rPr>
          <w:rFonts w:cstheme="minorHAnsi"/>
        </w:rPr>
        <w:t>Regelung</w:t>
      </w:r>
      <w:r w:rsidRPr="00530D27">
        <w:rPr>
          <w:rFonts w:cstheme="minorHAnsi"/>
        </w:rPr>
        <w:t xml:space="preserve">, wonach alle Unterlagen aufzubewahren sind, die zum Verständnis oder zur Überprüfung der für die Besteuerung gesetzlich vorgeschriebenen Aufzeichnungen im Einzelfall von Bedeutung sind. </w:t>
      </w:r>
      <w:r w:rsidR="00A72D4D" w:rsidRPr="00530D27">
        <w:rPr>
          <w:rFonts w:cstheme="minorHAnsi"/>
        </w:rPr>
        <w:br/>
      </w:r>
      <w:r w:rsidR="00A72D4D" w:rsidRPr="00530D27">
        <w:rPr>
          <w:rFonts w:cstheme="minorHAnsi"/>
        </w:rPr>
        <w:br/>
      </w:r>
      <w:r w:rsidR="00E81254" w:rsidRPr="00530D27">
        <w:rPr>
          <w:rFonts w:cstheme="minorHAnsi"/>
        </w:rPr>
        <w:t xml:space="preserve">vgl. Tz. </w:t>
      </w:r>
      <w:r w:rsidR="004319E4" w:rsidRPr="00530D27">
        <w:rPr>
          <w:rFonts w:cstheme="minorHAnsi"/>
        </w:rPr>
        <w:t>3ff</w:t>
      </w:r>
    </w:p>
    <w:p w14:paraId="75B16777" w14:textId="6E3F66ED" w:rsidR="007F3A18" w:rsidRPr="00530D27" w:rsidRDefault="007F3A18" w:rsidP="00DC7EDC">
      <w:pPr>
        <w:spacing w:before="360"/>
        <w:rPr>
          <w:rFonts w:eastAsia="Times New Roman" w:cstheme="minorHAnsi"/>
          <w:spacing w:val="-2"/>
          <w:lang w:eastAsia="de-DE"/>
        </w:rPr>
      </w:pPr>
      <w:r w:rsidRPr="00530D27">
        <w:rPr>
          <w:rFonts w:cstheme="minorHAnsi"/>
          <w:b/>
        </w:rPr>
        <w:t xml:space="preserve">Zu </w:t>
      </w:r>
      <w:r w:rsidR="00C350BF" w:rsidRPr="00530D27">
        <w:rPr>
          <w:rFonts w:cstheme="minorHAnsi"/>
          <w:b/>
        </w:rPr>
        <w:t>Frage 2</w:t>
      </w:r>
      <w:r w:rsidR="00C350BF" w:rsidRPr="00530D27">
        <w:rPr>
          <w:rFonts w:cstheme="minorHAnsi"/>
          <w:b/>
        </w:rPr>
        <w:br/>
      </w:r>
      <w:r w:rsidRPr="00530D27">
        <w:rPr>
          <w:rFonts w:eastAsia="Times New Roman" w:cstheme="minorHAnsi"/>
          <w:spacing w:val="-2"/>
          <w:lang w:eastAsia="de-DE"/>
        </w:rPr>
        <w:t>Beispiele sind die Anleitung zur Kassenprogrammierung und die Dokumentation der Kassenprogrammierung und ihrer späteren Änderungen.</w:t>
      </w:r>
    </w:p>
    <w:p w14:paraId="31DB430E" w14:textId="77777777" w:rsidR="007F3A18" w:rsidRPr="00530D27" w:rsidRDefault="007F3A18" w:rsidP="007F3A18">
      <w:pPr>
        <w:spacing w:before="60" w:after="60" w:line="240" w:lineRule="exact"/>
        <w:jc w:val="both"/>
        <w:rPr>
          <w:rFonts w:eastAsia="Times New Roman" w:cstheme="minorHAnsi"/>
          <w:spacing w:val="-2"/>
          <w:lang w:eastAsia="de-DE"/>
        </w:rPr>
      </w:pPr>
      <w:r w:rsidRPr="00530D27">
        <w:rPr>
          <w:rFonts w:eastAsia="Times New Roman" w:cstheme="minorHAnsi"/>
          <w:spacing w:val="-2"/>
          <w:lang w:eastAsia="de-DE"/>
        </w:rPr>
        <w:t>Der BFH stellte mit Urteil vom 25. 3. 2015 - X R 20/13 GAAAE-96112 hierzu Folgendes fest:</w:t>
      </w:r>
    </w:p>
    <w:p w14:paraId="43A84F78" w14:textId="77777777" w:rsidR="007F3A18" w:rsidRPr="00530D27" w:rsidRDefault="007F3A18" w:rsidP="007F3A18">
      <w:pPr>
        <w:spacing w:before="60" w:after="60" w:line="240" w:lineRule="exact"/>
        <w:jc w:val="both"/>
        <w:rPr>
          <w:rFonts w:eastAsia="Times New Roman" w:cstheme="minorHAnsi"/>
          <w:i/>
          <w:spacing w:val="-2"/>
          <w:lang w:eastAsia="de-DE"/>
        </w:rPr>
      </w:pPr>
      <w:r w:rsidRPr="00530D27">
        <w:rPr>
          <w:rFonts w:eastAsia="Times New Roman" w:cstheme="minorHAnsi"/>
          <w:i/>
          <w:spacing w:val="-2"/>
          <w:lang w:eastAsia="de-DE"/>
        </w:rPr>
        <w:t xml:space="preserve">„Bei einem programmierbaren Kassensystem stellt das Fehlen der aufbewahrungspflichtigen Betriebsanleitung sowie der Protokolle nachträglicher Programmänderungen einen formellen Mangel dar, dessen Bedeutung dem Fehlen von </w:t>
      </w:r>
      <w:proofErr w:type="spellStart"/>
      <w:r w:rsidRPr="00530D27">
        <w:rPr>
          <w:rFonts w:eastAsia="Times New Roman" w:cstheme="minorHAnsi"/>
          <w:i/>
          <w:spacing w:val="-2"/>
          <w:lang w:eastAsia="de-DE"/>
        </w:rPr>
        <w:t>Tagesendsummenbons</w:t>
      </w:r>
      <w:proofErr w:type="spellEnd"/>
      <w:r w:rsidRPr="00530D27">
        <w:rPr>
          <w:rFonts w:eastAsia="Times New Roman" w:cstheme="minorHAnsi"/>
          <w:i/>
          <w:spacing w:val="-2"/>
          <w:lang w:eastAsia="de-DE"/>
        </w:rPr>
        <w:t xml:space="preserve"> bei einer Registrierkasse oder dem Fehlen von Kassenberichten bei einer offenen Ladenkasse gleichsteht und der daher grundsätzlich schon für sich genommen zu einer Hinzuschätzung berechtigt.“</w:t>
      </w:r>
    </w:p>
    <w:p w14:paraId="0A3A57BE" w14:textId="0C1C776C" w:rsidR="003B6515" w:rsidRPr="00530D27" w:rsidRDefault="003B6515" w:rsidP="007F3A18">
      <w:pPr>
        <w:spacing w:before="60" w:after="60" w:line="240" w:lineRule="exact"/>
        <w:jc w:val="both"/>
        <w:rPr>
          <w:rFonts w:eastAsia="Times New Roman" w:cstheme="minorHAnsi"/>
          <w:spacing w:val="-2"/>
          <w:lang w:eastAsia="de-DE"/>
        </w:rPr>
      </w:pPr>
      <w:r w:rsidRPr="00530D27">
        <w:rPr>
          <w:rFonts w:eastAsia="Times New Roman" w:cstheme="minorHAnsi"/>
          <w:spacing w:val="-2"/>
          <w:lang w:eastAsia="de-DE"/>
        </w:rPr>
        <w:t>Ähnlich auch BFH Beschluss v. 11.01.2017 - X B 104/16.</w:t>
      </w:r>
    </w:p>
    <w:p w14:paraId="1B0D6F80" w14:textId="77777777" w:rsidR="003B6515" w:rsidRPr="00530D27" w:rsidRDefault="003B6515" w:rsidP="007F3A18">
      <w:pPr>
        <w:spacing w:before="60" w:after="60" w:line="240" w:lineRule="exact"/>
        <w:jc w:val="both"/>
        <w:rPr>
          <w:rFonts w:eastAsia="Times New Roman" w:cstheme="minorHAnsi"/>
          <w:spacing w:val="-2"/>
          <w:lang w:eastAsia="de-DE"/>
        </w:rPr>
      </w:pPr>
    </w:p>
    <w:p w14:paraId="2AFD9133" w14:textId="7B44D788" w:rsidR="007F3A18" w:rsidRPr="00530D27" w:rsidRDefault="007F3A18" w:rsidP="007F3A18">
      <w:pPr>
        <w:spacing w:before="60" w:after="60" w:line="240" w:lineRule="exact"/>
        <w:jc w:val="both"/>
        <w:rPr>
          <w:rFonts w:eastAsia="Times New Roman" w:cstheme="minorHAnsi"/>
          <w:spacing w:val="-2"/>
          <w:lang w:eastAsia="de-DE"/>
        </w:rPr>
      </w:pPr>
      <w:r w:rsidRPr="00530D27">
        <w:rPr>
          <w:rFonts w:eastAsia="Times New Roman" w:cstheme="minorHAnsi"/>
          <w:spacing w:val="-2"/>
          <w:lang w:eastAsia="de-DE"/>
        </w:rPr>
        <w:t>Generell sollte der Unternehmer an dieser Stelle für eine sinnvolle Auswahl der eingesetzten Hardwaresysteme hinsichtlich der „GoBD-Tauglichkeit“ sensibilisiert werden.</w:t>
      </w:r>
    </w:p>
    <w:p w14:paraId="6B427757" w14:textId="6FE925DC" w:rsidR="00B078F4" w:rsidRPr="00530D27" w:rsidRDefault="00B078F4" w:rsidP="007F3A18">
      <w:pPr>
        <w:spacing w:before="60" w:after="60" w:line="240" w:lineRule="exact"/>
        <w:jc w:val="both"/>
        <w:rPr>
          <w:rFonts w:eastAsia="Times New Roman" w:cstheme="minorHAnsi"/>
          <w:spacing w:val="-2"/>
          <w:lang w:eastAsia="de-DE"/>
        </w:rPr>
      </w:pPr>
    </w:p>
    <w:p w14:paraId="5E5E606E" w14:textId="4F4C091A" w:rsidR="00B078F4" w:rsidRPr="00530D27" w:rsidRDefault="00B078F4" w:rsidP="007F3A18">
      <w:pPr>
        <w:spacing w:before="60" w:after="60" w:line="240" w:lineRule="exact"/>
        <w:jc w:val="both"/>
        <w:rPr>
          <w:rFonts w:eastAsia="Times New Roman" w:cstheme="minorHAnsi"/>
          <w:spacing w:val="-2"/>
          <w:lang w:eastAsia="de-DE"/>
        </w:rPr>
      </w:pPr>
      <w:r w:rsidRPr="00530D27">
        <w:rPr>
          <w:rFonts w:eastAsia="Times New Roman" w:cstheme="minorHAnsi"/>
          <w:spacing w:val="-2"/>
          <w:lang w:eastAsia="de-DE"/>
        </w:rPr>
        <w:t>Tz. 20</w:t>
      </w:r>
      <w:r w:rsidR="00C21257" w:rsidRPr="00530D27">
        <w:rPr>
          <w:rFonts w:eastAsia="Times New Roman" w:cstheme="minorHAnsi"/>
          <w:spacing w:val="-2"/>
          <w:lang w:eastAsia="de-DE"/>
        </w:rPr>
        <w:t xml:space="preserve">, 107ff., </w:t>
      </w:r>
      <w:r w:rsidR="0056664E" w:rsidRPr="00530D27">
        <w:rPr>
          <w:rFonts w:eastAsia="Times New Roman" w:cstheme="minorHAnsi"/>
          <w:spacing w:val="-2"/>
          <w:lang w:eastAsia="de-DE"/>
        </w:rPr>
        <w:t>151</w:t>
      </w:r>
    </w:p>
    <w:p w14:paraId="64C92A0E" w14:textId="32FB92AC" w:rsidR="007F3A18" w:rsidRPr="00530D27" w:rsidRDefault="007F3A18" w:rsidP="00DC7EDC">
      <w:pPr>
        <w:spacing w:before="360"/>
        <w:rPr>
          <w:rFonts w:cstheme="minorHAnsi"/>
        </w:rPr>
      </w:pPr>
      <w:r w:rsidRPr="00530D27">
        <w:rPr>
          <w:rFonts w:cstheme="minorHAnsi"/>
          <w:b/>
        </w:rPr>
        <w:t xml:space="preserve">Zu </w:t>
      </w:r>
      <w:r w:rsidR="001B5929" w:rsidRPr="00530D27">
        <w:rPr>
          <w:rFonts w:cstheme="minorHAnsi"/>
          <w:b/>
        </w:rPr>
        <w:t>Frage 3</w:t>
      </w:r>
      <w:r w:rsidRPr="00530D27">
        <w:rPr>
          <w:rFonts w:cstheme="minorHAnsi"/>
          <w:b/>
        </w:rPr>
        <w:br/>
      </w:r>
      <w:r w:rsidRPr="00530D27">
        <w:rPr>
          <w:rFonts w:cstheme="minorHAnsi"/>
        </w:rPr>
        <w:t>Die Erforderlichkeit einer Verfahrensdokumentation wird aus dem Grundsatz der Nachvollziehbarkeit und Nachprüfbarkeit von Unterlagen (und Verfahren) abgeleitet. Eine bestimmte Form ist nicht vorgeschrieben.</w:t>
      </w:r>
    </w:p>
    <w:p w14:paraId="4B689179" w14:textId="77777777" w:rsidR="00530D27" w:rsidRDefault="007F3A18" w:rsidP="00530D27">
      <w:pPr>
        <w:rPr>
          <w:rFonts w:cstheme="minorHAnsi"/>
        </w:rPr>
      </w:pPr>
      <w:r w:rsidRPr="00530D27">
        <w:rPr>
          <w:rFonts w:cstheme="minorHAnsi"/>
        </w:rPr>
        <w:t xml:space="preserve">Beispielhaft erläutert das BMF-Schreiben vom </w:t>
      </w:r>
      <w:r w:rsidR="00351686" w:rsidRPr="00530D27">
        <w:rPr>
          <w:rFonts w:cstheme="minorHAnsi"/>
        </w:rPr>
        <w:t xml:space="preserve">28.11.2019 in Tz. </w:t>
      </w:r>
      <w:r w:rsidR="001F57A8" w:rsidRPr="00530D27">
        <w:rPr>
          <w:rFonts w:cstheme="minorHAnsi"/>
        </w:rPr>
        <w:t>153</w:t>
      </w:r>
      <w:r w:rsidRPr="00530D27">
        <w:rPr>
          <w:rFonts w:cstheme="minorHAnsi"/>
        </w:rPr>
        <w:t xml:space="preserve">, dass eine Verfahrensdokumentation im Regelfall </w:t>
      </w:r>
      <w:proofErr w:type="gramStart"/>
      <w:r w:rsidRPr="00530D27">
        <w:rPr>
          <w:rFonts w:cstheme="minorHAnsi"/>
        </w:rPr>
        <w:t>aus folgenden</w:t>
      </w:r>
      <w:proofErr w:type="gramEnd"/>
      <w:r w:rsidRPr="00530D27">
        <w:rPr>
          <w:rFonts w:cstheme="minorHAnsi"/>
        </w:rPr>
        <w:t xml:space="preserve"> Elementen besteht:</w:t>
      </w:r>
    </w:p>
    <w:p w14:paraId="7AF89C20" w14:textId="77777777" w:rsidR="00530D27" w:rsidRDefault="007F3A18" w:rsidP="00530D27">
      <w:pPr>
        <w:pStyle w:val="Listenabsatz"/>
        <w:numPr>
          <w:ilvl w:val="0"/>
          <w:numId w:val="11"/>
        </w:numPr>
        <w:rPr>
          <w:rFonts w:cstheme="minorHAnsi"/>
        </w:rPr>
      </w:pPr>
      <w:r w:rsidRPr="00530D27">
        <w:rPr>
          <w:rFonts w:cstheme="minorHAnsi"/>
        </w:rPr>
        <w:t xml:space="preserve">allgemeine Beschreibung, </w:t>
      </w:r>
    </w:p>
    <w:p w14:paraId="16CBE9E3" w14:textId="77777777" w:rsidR="00530D27" w:rsidRDefault="007F3A18" w:rsidP="00530D27">
      <w:pPr>
        <w:pStyle w:val="Listenabsatz"/>
        <w:numPr>
          <w:ilvl w:val="0"/>
          <w:numId w:val="11"/>
        </w:numPr>
        <w:rPr>
          <w:rFonts w:cstheme="minorHAnsi"/>
        </w:rPr>
      </w:pPr>
      <w:r w:rsidRPr="00530D27">
        <w:rPr>
          <w:rFonts w:cstheme="minorHAnsi"/>
        </w:rPr>
        <w:t xml:space="preserve">Anwenderdokumentation, </w:t>
      </w:r>
    </w:p>
    <w:p w14:paraId="7F1CF93F" w14:textId="77777777" w:rsidR="00530D27" w:rsidRDefault="007F3A18" w:rsidP="00530D27">
      <w:pPr>
        <w:pStyle w:val="Listenabsatz"/>
        <w:numPr>
          <w:ilvl w:val="0"/>
          <w:numId w:val="11"/>
        </w:numPr>
        <w:rPr>
          <w:rFonts w:cstheme="minorHAnsi"/>
        </w:rPr>
      </w:pPr>
      <w:r w:rsidRPr="00530D27">
        <w:rPr>
          <w:rFonts w:cstheme="minorHAnsi"/>
        </w:rPr>
        <w:t xml:space="preserve">technische Systemdokumentation und </w:t>
      </w:r>
    </w:p>
    <w:p w14:paraId="6E705652" w14:textId="2BF8B3F8" w:rsidR="007F3A18" w:rsidRPr="00530D27" w:rsidRDefault="007F3A18" w:rsidP="00530D27">
      <w:pPr>
        <w:pStyle w:val="Listenabsatz"/>
        <w:numPr>
          <w:ilvl w:val="0"/>
          <w:numId w:val="11"/>
        </w:numPr>
        <w:rPr>
          <w:rFonts w:cstheme="minorHAnsi"/>
        </w:rPr>
      </w:pPr>
      <w:r w:rsidRPr="00530D27">
        <w:rPr>
          <w:rFonts w:cstheme="minorHAnsi"/>
        </w:rPr>
        <w:t xml:space="preserve">Betriebsdokumentation. </w:t>
      </w:r>
    </w:p>
    <w:p w14:paraId="768B5824" w14:textId="77777777" w:rsidR="007F3A18" w:rsidRPr="00530D27" w:rsidRDefault="007F3A18" w:rsidP="007F3A18">
      <w:pPr>
        <w:pStyle w:val="AufzhlungPunkt"/>
        <w:numPr>
          <w:ilvl w:val="0"/>
          <w:numId w:val="0"/>
        </w:numPr>
        <w:ind w:left="426"/>
        <w:rPr>
          <w:rFonts w:asciiTheme="minorHAnsi" w:hAnsiTheme="minorHAnsi" w:cstheme="minorHAnsi"/>
          <w:color w:val="auto"/>
          <w:sz w:val="22"/>
          <w:szCs w:val="22"/>
        </w:rPr>
      </w:pPr>
    </w:p>
    <w:p w14:paraId="66AC8272" w14:textId="77777777" w:rsidR="007F3A18" w:rsidRPr="00530D27" w:rsidRDefault="007F3A18" w:rsidP="007F3A18">
      <w:pPr>
        <w:rPr>
          <w:rFonts w:cstheme="minorHAnsi"/>
        </w:rPr>
      </w:pPr>
      <w:r w:rsidRPr="00530D27">
        <w:rPr>
          <w:rFonts w:cstheme="minorHAnsi"/>
        </w:rPr>
        <w:t xml:space="preserve">Hier liegt die </w:t>
      </w:r>
      <w:r w:rsidRPr="00530D27">
        <w:rPr>
          <w:rFonts w:cstheme="minorHAnsi"/>
          <w:b/>
        </w:rPr>
        <w:t>Chance für die Berater</w:t>
      </w:r>
      <w:r w:rsidRPr="00530D27">
        <w:rPr>
          <w:rFonts w:cstheme="minorHAnsi"/>
        </w:rPr>
        <w:t>: Das Aufstellen einer Verfahrensdokumentation verlangt das Durchdenken der Prozesse und bietet daher viele Beratungsansätze. Diese sollten nicht ungenutzt bleiben. Gelingt es, dem Mandanten hier Optimierungspotenziale aufzuzeigen, ist die Akzeptanz für die „GoBD“ geschaffen.</w:t>
      </w:r>
    </w:p>
    <w:p w14:paraId="2FE7FED8" w14:textId="4C8DDAD4" w:rsidR="006D7793" w:rsidRPr="00530D27" w:rsidRDefault="007F3A18" w:rsidP="007F3A18">
      <w:pPr>
        <w:rPr>
          <w:rFonts w:cstheme="minorHAnsi"/>
        </w:rPr>
      </w:pPr>
      <w:r w:rsidRPr="00530D27">
        <w:rPr>
          <w:rFonts w:cstheme="minorHAnsi"/>
        </w:rPr>
        <w:t xml:space="preserve">Hilfreich (je nach Mandantenbetrieb) kann auch die </w:t>
      </w:r>
      <w:r w:rsidRPr="00530D27">
        <w:rPr>
          <w:rFonts w:cstheme="minorHAnsi"/>
          <w:b/>
        </w:rPr>
        <w:t>Musterverfahrensdokumentation</w:t>
      </w:r>
      <w:r w:rsidRPr="00530D27">
        <w:rPr>
          <w:rFonts w:cstheme="minorHAnsi"/>
        </w:rPr>
        <w:t xml:space="preserve"> unter </w:t>
      </w:r>
      <w:r w:rsidRPr="00530D27">
        <w:rPr>
          <w:rFonts w:cstheme="minorHAnsi"/>
          <w:b/>
        </w:rPr>
        <w:t>http://go.nwb.de/3h6sv</w:t>
      </w:r>
      <w:r w:rsidRPr="00530D27">
        <w:rPr>
          <w:rFonts w:cstheme="minorHAnsi"/>
        </w:rPr>
        <w:t xml:space="preserve"> sein. Die Vorlage erscheint zunächst sehr komplex, was aber den drei </w:t>
      </w:r>
      <w:r w:rsidRPr="00530D27">
        <w:rPr>
          <w:rFonts w:cstheme="minorHAnsi"/>
        </w:rPr>
        <w:lastRenderedPageBreak/>
        <w:t>Verfahrensabläufen für digitale Belege, Papierbelege und digitalisierte Papierbelege geschuldet ist. Die Abläufe sind auch für Kleinunternehmen gut beschrieben und können von Unternehmer und Berater auf die individuelle Situation angepasst werden.</w:t>
      </w:r>
      <w:r w:rsidR="00DB3172" w:rsidRPr="00530D27">
        <w:rPr>
          <w:rFonts w:cstheme="minorHAnsi"/>
        </w:rPr>
        <w:br/>
      </w:r>
      <w:r w:rsidR="00DB3172" w:rsidRPr="00530D27">
        <w:rPr>
          <w:rFonts w:cstheme="minorHAnsi"/>
        </w:rPr>
        <w:br/>
        <w:t xml:space="preserve">Tz. </w:t>
      </w:r>
      <w:r w:rsidR="004C4D52" w:rsidRPr="00530D27">
        <w:rPr>
          <w:rFonts w:cstheme="minorHAnsi"/>
        </w:rPr>
        <w:t>145 ff., 151 ff.</w:t>
      </w:r>
    </w:p>
    <w:p w14:paraId="7910D7BF" w14:textId="1631A756" w:rsidR="00751048" w:rsidRPr="00530D27" w:rsidRDefault="00751048" w:rsidP="007F3A18">
      <w:pPr>
        <w:rPr>
          <w:rFonts w:cstheme="minorHAnsi"/>
        </w:rPr>
      </w:pPr>
    </w:p>
    <w:p w14:paraId="09ED45EB" w14:textId="65ED986B" w:rsidR="00751048" w:rsidRPr="00530D27" w:rsidRDefault="00751048" w:rsidP="007F3A18">
      <w:pPr>
        <w:rPr>
          <w:rFonts w:cstheme="minorHAnsi"/>
        </w:rPr>
      </w:pPr>
      <w:r w:rsidRPr="00530D27">
        <w:rPr>
          <w:rFonts w:cstheme="minorHAnsi"/>
          <w:b/>
        </w:rPr>
        <w:t>Zu Frage 4</w:t>
      </w:r>
      <w:r w:rsidRPr="00530D27">
        <w:rPr>
          <w:rFonts w:cstheme="minorHAnsi"/>
          <w:b/>
        </w:rPr>
        <w:br/>
      </w:r>
      <w:r w:rsidR="009B18A5" w:rsidRPr="00530D27">
        <w:rPr>
          <w:rFonts w:cstheme="minorHAnsi"/>
        </w:rPr>
        <w:t xml:space="preserve">Das Verfahren zum Ersetzenden Scannen </w:t>
      </w:r>
      <w:r w:rsidR="00ED570E" w:rsidRPr="00530D27">
        <w:rPr>
          <w:rFonts w:cstheme="minorHAnsi"/>
        </w:rPr>
        <w:t xml:space="preserve">(jetzt genannt: bildliche Erfassung) </w:t>
      </w:r>
      <w:r w:rsidR="009B18A5" w:rsidRPr="00530D27">
        <w:rPr>
          <w:rFonts w:cstheme="minorHAnsi"/>
        </w:rPr>
        <w:t>ist nunmehr auch mit mobilen Erfassungsgeräten möglich. Hierfür ist eine</w:t>
      </w:r>
      <w:r w:rsidR="00D84A42" w:rsidRPr="00530D27">
        <w:rPr>
          <w:rFonts w:cstheme="minorHAnsi"/>
        </w:rPr>
        <w:t xml:space="preserve"> gesonderte Organisationsanweisung zu erstellen, umzusetzen und zu überwachen. </w:t>
      </w:r>
      <w:r w:rsidR="00D501ED" w:rsidRPr="00530D27">
        <w:rPr>
          <w:rFonts w:cstheme="minorHAnsi"/>
        </w:rPr>
        <w:t xml:space="preserve">Die Papierdokumente dürfen nach der bildlichen Erfassung nicht </w:t>
      </w:r>
      <w:proofErr w:type="gramStart"/>
      <w:r w:rsidR="00D501ED" w:rsidRPr="00530D27">
        <w:rPr>
          <w:rFonts w:cstheme="minorHAnsi"/>
        </w:rPr>
        <w:t>weiter bearbeitet</w:t>
      </w:r>
      <w:proofErr w:type="gramEnd"/>
      <w:r w:rsidR="00D501ED" w:rsidRPr="00530D27">
        <w:rPr>
          <w:rFonts w:cstheme="minorHAnsi"/>
        </w:rPr>
        <w:t xml:space="preserve"> werden (z.B. mit Zahlungs- oder Kontrollvermerken)</w:t>
      </w:r>
      <w:r w:rsidR="000207E4" w:rsidRPr="00530D27">
        <w:rPr>
          <w:rFonts w:cstheme="minorHAnsi"/>
        </w:rPr>
        <w:t>. Sie dürfen unter den im BMF-Schreiben genannten Bedingungen vernichtet werden.</w:t>
      </w:r>
      <w:r w:rsidR="000207E4" w:rsidRPr="00530D27">
        <w:rPr>
          <w:rFonts w:cstheme="minorHAnsi"/>
          <w:b/>
        </w:rPr>
        <w:br/>
      </w:r>
      <w:r w:rsidR="000207E4" w:rsidRPr="00530D27">
        <w:rPr>
          <w:rFonts w:cstheme="minorHAnsi"/>
          <w:b/>
        </w:rPr>
        <w:br/>
      </w:r>
      <w:r w:rsidR="000207E4" w:rsidRPr="00530D27">
        <w:rPr>
          <w:rFonts w:cstheme="minorHAnsi"/>
        </w:rPr>
        <w:t xml:space="preserve">Tz. 130 ff., </w:t>
      </w:r>
      <w:r w:rsidR="009C68D8" w:rsidRPr="00530D27">
        <w:rPr>
          <w:rFonts w:cstheme="minorHAnsi"/>
        </w:rPr>
        <w:t>Tz. 136 ff.</w:t>
      </w:r>
    </w:p>
    <w:p w14:paraId="0D0C47D4" w14:textId="7CCC932F" w:rsidR="007F3A18" w:rsidRPr="00530D27" w:rsidRDefault="007F3A18" w:rsidP="00DC7EDC">
      <w:pPr>
        <w:spacing w:before="360"/>
        <w:rPr>
          <w:rFonts w:cstheme="minorHAnsi"/>
        </w:rPr>
      </w:pPr>
      <w:r w:rsidRPr="00530D27">
        <w:rPr>
          <w:rFonts w:cstheme="minorHAnsi"/>
          <w:b/>
        </w:rPr>
        <w:t xml:space="preserve">Zu </w:t>
      </w:r>
      <w:r w:rsidR="00EF4795" w:rsidRPr="00530D27">
        <w:rPr>
          <w:rFonts w:cstheme="minorHAnsi"/>
          <w:b/>
        </w:rPr>
        <w:t xml:space="preserve">Frage </w:t>
      </w:r>
      <w:r w:rsidR="009C68D8" w:rsidRPr="00530D27">
        <w:rPr>
          <w:rFonts w:cstheme="minorHAnsi"/>
          <w:b/>
        </w:rPr>
        <w:t>5</w:t>
      </w:r>
      <w:r w:rsidRPr="00530D27">
        <w:rPr>
          <w:rFonts w:cstheme="minorHAnsi"/>
          <w:b/>
        </w:rPr>
        <w:br/>
      </w:r>
      <w:r w:rsidRPr="00530D27">
        <w:rPr>
          <w:rFonts w:cstheme="minorHAnsi"/>
        </w:rPr>
        <w:t>Diese Grundsätze sind altbekannt und sollen an dieser Stelle weg</w:t>
      </w:r>
      <w:r w:rsidR="00DC7EDC" w:rsidRPr="00530D27">
        <w:rPr>
          <w:rFonts w:cstheme="minorHAnsi"/>
        </w:rPr>
        <w:t xml:space="preserve">en ihres Umfangs nur punktuell </w:t>
      </w:r>
      <w:r w:rsidRPr="00530D27">
        <w:rPr>
          <w:rFonts w:cstheme="minorHAnsi"/>
        </w:rPr>
        <w:t xml:space="preserve">dargestellt werden. Besondere Bedeutung hat hier der Grundsatz der Einzelaufzeichnungspflicht und der Kontierung von Belegen: </w:t>
      </w:r>
    </w:p>
    <w:p w14:paraId="2B2C5421" w14:textId="149F9B3A" w:rsidR="007F3A18" w:rsidRPr="00530D27" w:rsidRDefault="007F3A18" w:rsidP="00530D27">
      <w:pPr>
        <w:pStyle w:val="AufzhlungPunkt"/>
        <w:numPr>
          <w:ilvl w:val="0"/>
          <w:numId w:val="10"/>
        </w:numPr>
        <w:rPr>
          <w:rFonts w:asciiTheme="minorHAnsi" w:hAnsiTheme="minorHAnsi" w:cstheme="minorHAnsi"/>
          <w:color w:val="auto"/>
          <w:sz w:val="22"/>
          <w:szCs w:val="22"/>
        </w:rPr>
      </w:pPr>
      <w:r w:rsidRPr="00530D27">
        <w:rPr>
          <w:rFonts w:asciiTheme="minorHAnsi" w:hAnsiTheme="minorHAnsi" w:cstheme="minorHAnsi"/>
          <w:b/>
          <w:color w:val="auto"/>
          <w:sz w:val="22"/>
          <w:szCs w:val="22"/>
        </w:rPr>
        <w:t>Einzelaufzeichnungspflicht:</w:t>
      </w:r>
      <w:r w:rsidRPr="00530D27">
        <w:rPr>
          <w:rFonts w:asciiTheme="minorHAnsi" w:hAnsiTheme="minorHAnsi" w:cstheme="minorHAnsi"/>
          <w:color w:val="auto"/>
          <w:sz w:val="22"/>
          <w:szCs w:val="22"/>
        </w:rPr>
        <w:t xml:space="preserve"> Aus dem Grundsatz der Vollständigkeit leitet sich der Grundsatz der Einzelaufzeichnungspflicht von Geschäftsvorfällen ab. Danach ist jeder Geschäftsvorfall – unabhängig davon, ob Einnahme oder Ausgabe – einzeln aufzuzeichnen. Da, wo es nicht zumutbar ist, werden Ausnahmen von der Einzelaufzeichnungspflicht gemacht, beispielsweise im Einzelhandel bei einer Vielzahl von Verkäufen mit geringem Wert. </w:t>
      </w:r>
      <w:r w:rsidR="005D61F0" w:rsidRPr="00530D27">
        <w:rPr>
          <w:rFonts w:asciiTheme="minorHAnsi" w:hAnsiTheme="minorHAnsi" w:cstheme="minorHAnsi"/>
          <w:color w:val="auto"/>
          <w:sz w:val="22"/>
          <w:szCs w:val="22"/>
        </w:rPr>
        <w:t xml:space="preserve">Normiert ist die Einzelaufzeichnungspflicht inzwischen in § 146 </w:t>
      </w:r>
      <w:r w:rsidR="005C770E" w:rsidRPr="00530D27">
        <w:rPr>
          <w:rFonts w:asciiTheme="minorHAnsi" w:hAnsiTheme="minorHAnsi" w:cstheme="minorHAnsi"/>
          <w:color w:val="auto"/>
          <w:sz w:val="22"/>
          <w:szCs w:val="22"/>
        </w:rPr>
        <w:t xml:space="preserve">Abs. 1 </w:t>
      </w:r>
      <w:r w:rsidR="005D61F0" w:rsidRPr="00530D27">
        <w:rPr>
          <w:rFonts w:asciiTheme="minorHAnsi" w:hAnsiTheme="minorHAnsi" w:cstheme="minorHAnsi"/>
          <w:color w:val="auto"/>
          <w:sz w:val="22"/>
          <w:szCs w:val="22"/>
        </w:rPr>
        <w:t>AO.</w:t>
      </w:r>
    </w:p>
    <w:p w14:paraId="5EA42DBC" w14:textId="2C3D63F4" w:rsidR="007F3A18" w:rsidRPr="00530D27" w:rsidRDefault="007F3A18" w:rsidP="00530D27">
      <w:pPr>
        <w:pStyle w:val="AufzhlungPunkt"/>
        <w:numPr>
          <w:ilvl w:val="0"/>
          <w:numId w:val="10"/>
        </w:numPr>
        <w:rPr>
          <w:rFonts w:asciiTheme="minorHAnsi" w:hAnsiTheme="minorHAnsi" w:cstheme="minorHAnsi"/>
          <w:color w:val="auto"/>
          <w:sz w:val="22"/>
          <w:szCs w:val="22"/>
        </w:rPr>
      </w:pPr>
      <w:r w:rsidRPr="00530D27">
        <w:rPr>
          <w:rFonts w:asciiTheme="minorHAnsi" w:hAnsiTheme="minorHAnsi" w:cstheme="minorHAnsi"/>
          <w:b/>
          <w:color w:val="auto"/>
          <w:sz w:val="22"/>
          <w:szCs w:val="22"/>
        </w:rPr>
        <w:t>Kontierung von Belegen:</w:t>
      </w:r>
      <w:r w:rsidRPr="00530D27">
        <w:rPr>
          <w:rFonts w:asciiTheme="minorHAnsi" w:hAnsiTheme="minorHAnsi" w:cstheme="minorHAnsi"/>
          <w:color w:val="auto"/>
          <w:sz w:val="22"/>
          <w:szCs w:val="22"/>
        </w:rPr>
        <w:t xml:space="preserve"> Die Kontierung von Belegen wird von der Finanzverwaltung grundsätzlich für erforderlich gehalten, damit der Beleg seine Belegfunktion erfüllen kann. Allerdings bleibt es dem Steuerpflichtigen überlassen, durch andere organisatorische Maßnahmen sicherzustellen, dass der zugehörige Geschäftsvorfall auch ohne Kontierungsangabe retrograd und progressiv nachprüfbar ist. Eine Kontierung ist also nicht (mehr) Pflicht.</w:t>
      </w:r>
    </w:p>
    <w:p w14:paraId="4A304F7F" w14:textId="3A669C65" w:rsidR="005C770E" w:rsidRPr="00530D27" w:rsidRDefault="005C770E" w:rsidP="005C770E">
      <w:pPr>
        <w:pStyle w:val="AufzhlungPunkt"/>
        <w:numPr>
          <w:ilvl w:val="0"/>
          <w:numId w:val="0"/>
        </w:numPr>
        <w:ind w:left="426" w:hanging="284"/>
        <w:rPr>
          <w:rFonts w:asciiTheme="minorHAnsi" w:hAnsiTheme="minorHAnsi" w:cstheme="minorHAnsi"/>
          <w:color w:val="auto"/>
          <w:sz w:val="22"/>
          <w:szCs w:val="22"/>
        </w:rPr>
      </w:pPr>
    </w:p>
    <w:p w14:paraId="0D8A9FB1" w14:textId="2921B688" w:rsidR="005C770E" w:rsidRPr="00530D27" w:rsidRDefault="005C770E" w:rsidP="005C770E">
      <w:pPr>
        <w:pStyle w:val="AufzhlungPunkt"/>
        <w:numPr>
          <w:ilvl w:val="0"/>
          <w:numId w:val="0"/>
        </w:numPr>
        <w:ind w:left="426" w:hanging="284"/>
        <w:rPr>
          <w:rFonts w:asciiTheme="minorHAnsi" w:hAnsiTheme="minorHAnsi" w:cstheme="minorHAnsi"/>
          <w:color w:val="auto"/>
          <w:sz w:val="22"/>
          <w:szCs w:val="22"/>
        </w:rPr>
      </w:pPr>
      <w:r w:rsidRPr="00530D27">
        <w:rPr>
          <w:rFonts w:asciiTheme="minorHAnsi" w:hAnsiTheme="minorHAnsi" w:cstheme="minorHAnsi"/>
          <w:color w:val="auto"/>
          <w:sz w:val="22"/>
          <w:szCs w:val="22"/>
        </w:rPr>
        <w:t xml:space="preserve">Tz. </w:t>
      </w:r>
      <w:r w:rsidR="003D4473" w:rsidRPr="00530D27">
        <w:rPr>
          <w:rFonts w:asciiTheme="minorHAnsi" w:hAnsiTheme="minorHAnsi" w:cstheme="minorHAnsi"/>
          <w:color w:val="auto"/>
          <w:sz w:val="22"/>
          <w:szCs w:val="22"/>
        </w:rPr>
        <w:t xml:space="preserve">26 ff., </w:t>
      </w:r>
      <w:r w:rsidR="00BF408A" w:rsidRPr="00530D27">
        <w:rPr>
          <w:rFonts w:asciiTheme="minorHAnsi" w:hAnsiTheme="minorHAnsi" w:cstheme="minorHAnsi"/>
          <w:color w:val="auto"/>
          <w:sz w:val="22"/>
          <w:szCs w:val="22"/>
        </w:rPr>
        <w:t>37 ff.</w:t>
      </w:r>
      <w:r w:rsidR="00153105" w:rsidRPr="00530D27">
        <w:rPr>
          <w:rFonts w:asciiTheme="minorHAnsi" w:hAnsiTheme="minorHAnsi" w:cstheme="minorHAnsi"/>
          <w:color w:val="auto"/>
          <w:sz w:val="22"/>
          <w:szCs w:val="22"/>
        </w:rPr>
        <w:t>, 64</w:t>
      </w:r>
    </w:p>
    <w:p w14:paraId="002BD86B" w14:textId="77777777" w:rsidR="00BF408A" w:rsidRPr="00530D27" w:rsidRDefault="00BF408A" w:rsidP="005C770E">
      <w:pPr>
        <w:pStyle w:val="AufzhlungPunkt"/>
        <w:numPr>
          <w:ilvl w:val="0"/>
          <w:numId w:val="0"/>
        </w:numPr>
        <w:ind w:left="426" w:hanging="284"/>
        <w:rPr>
          <w:rFonts w:asciiTheme="minorHAnsi" w:hAnsiTheme="minorHAnsi" w:cstheme="minorHAnsi"/>
          <w:color w:val="auto"/>
          <w:sz w:val="22"/>
          <w:szCs w:val="22"/>
        </w:rPr>
      </w:pPr>
    </w:p>
    <w:p w14:paraId="7DB28433" w14:textId="1A5EFF9D" w:rsidR="007F3A18" w:rsidRPr="00530D27" w:rsidRDefault="007F3A18" w:rsidP="00DC7EDC">
      <w:pPr>
        <w:spacing w:before="360"/>
        <w:rPr>
          <w:rFonts w:cstheme="minorHAnsi"/>
        </w:rPr>
      </w:pPr>
      <w:r w:rsidRPr="00530D27">
        <w:rPr>
          <w:rFonts w:cstheme="minorHAnsi"/>
          <w:b/>
        </w:rPr>
        <w:t xml:space="preserve">Zu </w:t>
      </w:r>
      <w:r w:rsidR="00F4386D" w:rsidRPr="00530D27">
        <w:rPr>
          <w:rFonts w:cstheme="minorHAnsi"/>
          <w:b/>
        </w:rPr>
        <w:t xml:space="preserve">Frage </w:t>
      </w:r>
      <w:r w:rsidR="009C68D8" w:rsidRPr="00530D27">
        <w:rPr>
          <w:rFonts w:cstheme="minorHAnsi"/>
          <w:b/>
        </w:rPr>
        <w:t>6</w:t>
      </w:r>
      <w:r w:rsidRPr="00530D27">
        <w:rPr>
          <w:rFonts w:cstheme="minorHAnsi"/>
          <w:b/>
        </w:rPr>
        <w:br/>
      </w:r>
      <w:r w:rsidRPr="00530D27">
        <w:rPr>
          <w:rFonts w:cstheme="minorHAnsi"/>
        </w:rPr>
        <w:t>Jeder Geschäftsvorfall ist möglichst zeitnah zu erfassen. Bare Geschäfte sind täglich aufzuzeichnen, unbare Geschäfte müssen innerhalb von zehn Tagen erfasst werden. „Erfassen“ ist nicht gleichzusetzen mit „verbuchen“: „Erfassen“ ist die manuelle Sichtung und Sicherung des Belegs durch eine geordnete Ablage.</w:t>
      </w:r>
    </w:p>
    <w:p w14:paraId="0C1AE4DF" w14:textId="50FF9547" w:rsidR="004317F5" w:rsidRPr="00530D27" w:rsidRDefault="004317F5" w:rsidP="00DC7EDC">
      <w:pPr>
        <w:spacing w:before="360"/>
        <w:rPr>
          <w:rFonts w:cstheme="minorHAnsi"/>
        </w:rPr>
      </w:pPr>
      <w:r w:rsidRPr="00530D27">
        <w:rPr>
          <w:rFonts w:cstheme="minorHAnsi"/>
        </w:rPr>
        <w:t xml:space="preserve">Tz. </w:t>
      </w:r>
      <w:r w:rsidR="00565014" w:rsidRPr="00530D27">
        <w:rPr>
          <w:rFonts w:cstheme="minorHAnsi"/>
        </w:rPr>
        <w:t>46 ff.</w:t>
      </w:r>
    </w:p>
    <w:p w14:paraId="7174D140" w14:textId="7467A697" w:rsidR="007F3A18" w:rsidRPr="00530D27" w:rsidRDefault="007F3A18" w:rsidP="00DC7EDC">
      <w:pPr>
        <w:spacing w:before="360"/>
        <w:rPr>
          <w:rFonts w:cstheme="minorHAnsi"/>
        </w:rPr>
      </w:pPr>
      <w:r w:rsidRPr="00530D27">
        <w:rPr>
          <w:rFonts w:cstheme="minorHAnsi"/>
          <w:b/>
        </w:rPr>
        <w:t xml:space="preserve">Zu </w:t>
      </w:r>
      <w:r w:rsidR="00F4386D" w:rsidRPr="00530D27">
        <w:rPr>
          <w:rFonts w:cstheme="minorHAnsi"/>
          <w:b/>
        </w:rPr>
        <w:t xml:space="preserve">Frage </w:t>
      </w:r>
      <w:r w:rsidR="009C68D8" w:rsidRPr="00530D27">
        <w:rPr>
          <w:rFonts w:cstheme="minorHAnsi"/>
          <w:b/>
        </w:rPr>
        <w:t>7</w:t>
      </w:r>
      <w:r w:rsidRPr="00530D27">
        <w:rPr>
          <w:rFonts w:cstheme="minorHAnsi"/>
          <w:b/>
        </w:rPr>
        <w:br/>
      </w:r>
      <w:r w:rsidRPr="00530D27">
        <w:rPr>
          <w:rFonts w:cstheme="minorHAnsi"/>
        </w:rPr>
        <w:t>Die Festschreibung der Buchhaltung ist bis zum Ablauf des Folgemonats sicherzustellen, um dem Grundsatz der Unveränderbarkeit gerecht zu werden. Denn die Unveränderbarkeit verlangt auch, dass spätere Änderungen am Dokument oder an Daten kenntlich gemacht sind. Ab „Festschreibung“ sind Änderungen nur noch dokumentiert möglich. In der Praxis ist inzwischen unbeanstandeter</w:t>
      </w:r>
      <w:r w:rsidR="0059523A" w:rsidRPr="00530D27">
        <w:rPr>
          <w:rFonts w:cstheme="minorHAnsi"/>
        </w:rPr>
        <w:t xml:space="preserve"> </w:t>
      </w:r>
      <w:r w:rsidR="0059523A" w:rsidRPr="00530D27">
        <w:rPr>
          <w:rFonts w:cstheme="minorHAnsi"/>
        </w:rPr>
        <w:lastRenderedPageBreak/>
        <w:t>(spätester)</w:t>
      </w:r>
      <w:r w:rsidRPr="00530D27">
        <w:rPr>
          <w:rFonts w:cstheme="minorHAnsi"/>
        </w:rPr>
        <w:t xml:space="preserve"> Zeitpunkt der Festschreibung der Abrufzeitpunkt der nächsten Umsatzsteuervoranmeldung.</w:t>
      </w:r>
    </w:p>
    <w:p w14:paraId="2137503F" w14:textId="03B04693" w:rsidR="0030644E" w:rsidRPr="00530D27" w:rsidRDefault="00FD4E48" w:rsidP="005744F0">
      <w:pPr>
        <w:spacing w:before="360"/>
        <w:rPr>
          <w:rFonts w:cstheme="minorHAnsi"/>
        </w:rPr>
      </w:pPr>
      <w:r w:rsidRPr="00530D27">
        <w:rPr>
          <w:rFonts w:cstheme="minorHAnsi"/>
        </w:rPr>
        <w:t xml:space="preserve">Tz. </w:t>
      </w:r>
      <w:r w:rsidR="003351DA" w:rsidRPr="00530D27">
        <w:rPr>
          <w:rFonts w:cstheme="minorHAnsi"/>
        </w:rPr>
        <w:t xml:space="preserve">52, </w:t>
      </w:r>
      <w:r w:rsidRPr="00530D27">
        <w:rPr>
          <w:rFonts w:cstheme="minorHAnsi"/>
        </w:rPr>
        <w:t>85</w:t>
      </w:r>
    </w:p>
    <w:p w14:paraId="5CB2DBE7" w14:textId="026EEB50" w:rsidR="007F3A18" w:rsidRPr="00530D27" w:rsidRDefault="007F3A18" w:rsidP="005744F0">
      <w:pPr>
        <w:spacing w:before="360"/>
        <w:rPr>
          <w:rFonts w:eastAsia="Times New Roman" w:cstheme="minorHAnsi"/>
        </w:rPr>
      </w:pPr>
      <w:r w:rsidRPr="00530D27">
        <w:rPr>
          <w:rFonts w:eastAsia="Times New Roman" w:cstheme="minorHAnsi"/>
          <w:b/>
        </w:rPr>
        <w:t xml:space="preserve">Zu </w:t>
      </w:r>
      <w:r w:rsidR="006D1463" w:rsidRPr="00530D27">
        <w:rPr>
          <w:rFonts w:eastAsia="Times New Roman" w:cstheme="minorHAnsi"/>
          <w:b/>
        </w:rPr>
        <w:t xml:space="preserve">Frage </w:t>
      </w:r>
      <w:r w:rsidR="009C68D8" w:rsidRPr="00530D27">
        <w:rPr>
          <w:rFonts w:eastAsia="Times New Roman" w:cstheme="minorHAnsi"/>
          <w:b/>
        </w:rPr>
        <w:t>8</w:t>
      </w:r>
      <w:r w:rsidRPr="00530D27">
        <w:rPr>
          <w:rFonts w:eastAsia="Times New Roman" w:cstheme="minorHAnsi"/>
          <w:b/>
        </w:rPr>
        <w:br/>
      </w:r>
      <w:r w:rsidRPr="00530D27">
        <w:rPr>
          <w:rFonts w:eastAsia="Times New Roman" w:cstheme="minorHAnsi"/>
        </w:rPr>
        <w:t>Daten und Belege sind revisionssicher aufzubewahren. Die revisionssichere Ablage basiert auf dem Grundsatz der Unveränderbarkeit, denn nur unveränderte Daten stellen sicher, dass der ursprüngliche Informationsgehalt erhalten bleibt. Daher fordern die GoBD, dass der Steuerpflichtige sein EDV-System gegen Datenverlust zu sichern und gegen unberechtigte Eingaben und Veränderungen zu schützen hat.</w:t>
      </w:r>
    </w:p>
    <w:p w14:paraId="01390EBE" w14:textId="445C9633" w:rsidR="007F3A18" w:rsidRPr="00530D27" w:rsidRDefault="007F3A18" w:rsidP="007F3A18">
      <w:pPr>
        <w:rPr>
          <w:rFonts w:eastAsia="Times New Roman" w:cstheme="minorHAnsi"/>
        </w:rPr>
      </w:pPr>
      <w:r w:rsidRPr="00530D27">
        <w:rPr>
          <w:rFonts w:eastAsia="Times New Roman" w:cstheme="minorHAnsi"/>
        </w:rPr>
        <w:t>Excel, Word und Co. bieten grundsätzlich keinen ausreichenden Veränderungsschutz, denn es wird lediglich dokumentiert, dass Änderungen vorgenommen wurden. Nicht dokumentiert wird jedoch, welche Veränderungen an dem jeweiligen Dokument durchgeführt wurden.</w:t>
      </w:r>
      <w:r w:rsidR="00B31064" w:rsidRPr="00530D27">
        <w:rPr>
          <w:rFonts w:eastAsia="Times New Roman" w:cstheme="minorHAnsi"/>
        </w:rPr>
        <w:t xml:space="preserve"> Insofern sind die</w:t>
      </w:r>
      <w:r w:rsidR="001E331E" w:rsidRPr="00530D27">
        <w:rPr>
          <w:rFonts w:eastAsia="Times New Roman" w:cstheme="minorHAnsi"/>
        </w:rPr>
        <w:t>se</w:t>
      </w:r>
      <w:r w:rsidR="00B31064" w:rsidRPr="00530D27">
        <w:rPr>
          <w:rFonts w:eastAsia="Times New Roman" w:cstheme="minorHAnsi"/>
        </w:rPr>
        <w:t xml:space="preserve"> Dokumente, soweit steuerrelevant, z.B. in einem DMS</w:t>
      </w:r>
      <w:r w:rsidR="001E331E" w:rsidRPr="00530D27">
        <w:rPr>
          <w:rFonts w:eastAsia="Times New Roman" w:cstheme="minorHAnsi"/>
        </w:rPr>
        <w:t xml:space="preserve"> aufzubewahren, welches diese Veränderungen protokolliert.</w:t>
      </w:r>
    </w:p>
    <w:p w14:paraId="2EFB04C2" w14:textId="08ABD056" w:rsidR="001E331E" w:rsidRPr="00530D27" w:rsidRDefault="001E331E" w:rsidP="007F3A18">
      <w:pPr>
        <w:rPr>
          <w:rFonts w:eastAsia="Times New Roman" w:cstheme="minorHAnsi"/>
        </w:rPr>
      </w:pPr>
      <w:r w:rsidRPr="00530D27">
        <w:rPr>
          <w:rFonts w:eastAsia="Times New Roman" w:cstheme="minorHAnsi"/>
        </w:rPr>
        <w:t xml:space="preserve">Tz. </w:t>
      </w:r>
      <w:r w:rsidR="00A70EC3" w:rsidRPr="00530D27">
        <w:rPr>
          <w:rFonts w:eastAsia="Times New Roman" w:cstheme="minorHAnsi"/>
        </w:rPr>
        <w:t xml:space="preserve">103, </w:t>
      </w:r>
      <w:r w:rsidR="00AD39DC" w:rsidRPr="00530D27">
        <w:rPr>
          <w:rFonts w:eastAsia="Times New Roman" w:cstheme="minorHAnsi"/>
        </w:rPr>
        <w:t>108 ff.</w:t>
      </w:r>
      <w:r w:rsidR="00FD4E1B" w:rsidRPr="00530D27">
        <w:rPr>
          <w:rFonts w:eastAsia="Times New Roman" w:cstheme="minorHAnsi"/>
        </w:rPr>
        <w:t xml:space="preserve"> </w:t>
      </w:r>
    </w:p>
    <w:p w14:paraId="4E2D701A" w14:textId="3C25B175" w:rsidR="007F3A18" w:rsidRPr="00530D27" w:rsidRDefault="007F3A18" w:rsidP="005744F0">
      <w:pPr>
        <w:spacing w:before="360"/>
        <w:rPr>
          <w:rFonts w:cstheme="minorHAnsi"/>
        </w:rPr>
      </w:pPr>
      <w:r w:rsidRPr="00530D27">
        <w:rPr>
          <w:rFonts w:cstheme="minorHAnsi"/>
          <w:b/>
        </w:rPr>
        <w:t xml:space="preserve">Zu </w:t>
      </w:r>
      <w:r w:rsidR="00942891" w:rsidRPr="00530D27">
        <w:rPr>
          <w:rFonts w:cstheme="minorHAnsi"/>
          <w:b/>
        </w:rPr>
        <w:t xml:space="preserve">Frage </w:t>
      </w:r>
      <w:r w:rsidR="009C68D8" w:rsidRPr="00530D27">
        <w:rPr>
          <w:rFonts w:cstheme="minorHAnsi"/>
          <w:b/>
        </w:rPr>
        <w:t>9</w:t>
      </w:r>
      <w:r w:rsidR="006D7793" w:rsidRPr="00530D27">
        <w:rPr>
          <w:rFonts w:cstheme="minorHAnsi"/>
          <w:b/>
        </w:rPr>
        <w:br/>
      </w:r>
      <w:r w:rsidRPr="00530D27">
        <w:rPr>
          <w:rFonts w:cstheme="minorHAnsi"/>
        </w:rPr>
        <w:t>Es gelten die allgemeinen Aufbewahrungsfristen für Daten und Belege (zehn bzw. sechs Jahre). In diesem Zeitraum muss sichergestellt werden, dass sämtliche aufbewahrte Daten jederzeit lesbar gemacht werden können. Dabei kann es notwendig sein, auch ältere Hardware aufzubewahren, damit zugehörige Datenbestände lesbar bleiben.</w:t>
      </w:r>
      <w:r w:rsidR="00FB02B1" w:rsidRPr="00530D27">
        <w:rPr>
          <w:rFonts w:cstheme="minorHAnsi"/>
        </w:rPr>
        <w:br/>
      </w:r>
      <w:r w:rsidR="00FB02B1" w:rsidRPr="00530D27">
        <w:rPr>
          <w:rFonts w:cstheme="minorHAnsi"/>
        </w:rPr>
        <w:br/>
        <w:t>Tz. 113 ff.</w:t>
      </w:r>
    </w:p>
    <w:p w14:paraId="40327308" w14:textId="5DDB12AC" w:rsidR="007F3A18" w:rsidRPr="00530D27" w:rsidRDefault="006D7793" w:rsidP="006D7793">
      <w:pPr>
        <w:rPr>
          <w:rFonts w:cstheme="minorHAnsi"/>
          <w:i/>
        </w:rPr>
      </w:pPr>
      <w:r w:rsidRPr="00530D27">
        <w:rPr>
          <w:rFonts w:cstheme="minorHAnsi"/>
          <w:i/>
        </w:rPr>
        <w:t xml:space="preserve">Datenbank-Tipp: </w:t>
      </w:r>
      <w:r w:rsidR="007F3A18" w:rsidRPr="00530D27">
        <w:rPr>
          <w:rFonts w:cstheme="minorHAnsi"/>
          <w:i/>
        </w:rPr>
        <w:t xml:space="preserve">Aufbewahrungsfristen nach steuer- und handelsrechtlichen Vorschriften, Übersicht </w:t>
      </w:r>
      <w:r w:rsidR="007F3A18" w:rsidRPr="00530D27">
        <w:rPr>
          <w:rStyle w:val="VerweisDOI"/>
          <w:rFonts w:cstheme="minorHAnsi"/>
          <w:i/>
          <w:color w:val="auto"/>
        </w:rPr>
        <w:t>IAAAB-04637</w:t>
      </w:r>
    </w:p>
    <w:p w14:paraId="448782A5" w14:textId="369A2F4E" w:rsidR="007F3A18" w:rsidRPr="00530D27" w:rsidRDefault="007F3A18" w:rsidP="005744F0">
      <w:pPr>
        <w:spacing w:before="360"/>
        <w:rPr>
          <w:rFonts w:cstheme="minorHAnsi"/>
        </w:rPr>
      </w:pPr>
      <w:r w:rsidRPr="00530D27">
        <w:rPr>
          <w:rFonts w:cstheme="minorHAnsi"/>
          <w:b/>
        </w:rPr>
        <w:t xml:space="preserve">Zu </w:t>
      </w:r>
      <w:r w:rsidR="00AC52E2" w:rsidRPr="00530D27">
        <w:rPr>
          <w:rFonts w:cstheme="minorHAnsi"/>
          <w:b/>
        </w:rPr>
        <w:t>Frage</w:t>
      </w:r>
      <w:r w:rsidR="006457E3" w:rsidRPr="00530D27">
        <w:rPr>
          <w:rFonts w:cstheme="minorHAnsi"/>
          <w:b/>
        </w:rPr>
        <w:t>n</w:t>
      </w:r>
      <w:r w:rsidR="00AC52E2" w:rsidRPr="00530D27">
        <w:rPr>
          <w:rFonts w:cstheme="minorHAnsi"/>
          <w:b/>
        </w:rPr>
        <w:t xml:space="preserve"> </w:t>
      </w:r>
      <w:r w:rsidR="009C68D8" w:rsidRPr="00530D27">
        <w:rPr>
          <w:rFonts w:cstheme="minorHAnsi"/>
          <w:b/>
        </w:rPr>
        <w:t>10</w:t>
      </w:r>
      <w:r w:rsidR="006457E3" w:rsidRPr="00530D27">
        <w:rPr>
          <w:rFonts w:cstheme="minorHAnsi"/>
          <w:b/>
        </w:rPr>
        <w:t xml:space="preserve"> und </w:t>
      </w:r>
      <w:r w:rsidR="009C68D8" w:rsidRPr="00530D27">
        <w:rPr>
          <w:rFonts w:cstheme="minorHAnsi"/>
          <w:b/>
        </w:rPr>
        <w:t>11</w:t>
      </w:r>
      <w:r w:rsidR="00AC52E2" w:rsidRPr="00530D27">
        <w:rPr>
          <w:rFonts w:cstheme="minorHAnsi"/>
          <w:b/>
        </w:rPr>
        <w:br/>
      </w:r>
      <w:r w:rsidRPr="00530D27">
        <w:rPr>
          <w:rFonts w:cstheme="minorHAnsi"/>
        </w:rPr>
        <w:t>Der Unternehmer muss sicherstellen, dass seine Daten gegen Verfälschung, Vernichtung, Unauffindbarkeit, Untergang oder Diebstahl gesichert sind. Auch hat er sein DV-System gegen unberechtigte Benutzung oder Veränderung zu schützen. Geschieht dies nicht, liegt aus Sicht der Finanzverwaltung eine formell nicht ordnungsgemäße Buchführung vor.</w:t>
      </w:r>
      <w:r w:rsidR="00FB02B1" w:rsidRPr="00530D27">
        <w:rPr>
          <w:rFonts w:cstheme="minorHAnsi"/>
        </w:rPr>
        <w:br/>
      </w:r>
      <w:r w:rsidR="00FB02B1" w:rsidRPr="00530D27">
        <w:rPr>
          <w:rFonts w:cstheme="minorHAnsi"/>
        </w:rPr>
        <w:br/>
        <w:t xml:space="preserve">Tz. </w:t>
      </w:r>
      <w:r w:rsidR="00F05D77" w:rsidRPr="00530D27">
        <w:rPr>
          <w:rFonts w:cstheme="minorHAnsi"/>
        </w:rPr>
        <w:t>103 ff.</w:t>
      </w:r>
    </w:p>
    <w:p w14:paraId="4B88D80E" w14:textId="5995378A" w:rsidR="006D7793" w:rsidRPr="00530D27" w:rsidRDefault="007F3A18" w:rsidP="005744F0">
      <w:pPr>
        <w:spacing w:before="240"/>
        <w:rPr>
          <w:rFonts w:cstheme="minorHAnsi"/>
        </w:rPr>
      </w:pPr>
      <w:r w:rsidRPr="00530D27">
        <w:rPr>
          <w:rFonts w:cstheme="minorHAnsi"/>
          <w:b/>
        </w:rPr>
        <w:t xml:space="preserve">Zu </w:t>
      </w:r>
      <w:r w:rsidR="006457E3" w:rsidRPr="00530D27">
        <w:rPr>
          <w:rFonts w:cstheme="minorHAnsi"/>
          <w:b/>
        </w:rPr>
        <w:t>Frage 1</w:t>
      </w:r>
      <w:r w:rsidR="009C68D8" w:rsidRPr="00530D27">
        <w:rPr>
          <w:rFonts w:cstheme="minorHAnsi"/>
          <w:b/>
        </w:rPr>
        <w:t>2</w:t>
      </w:r>
      <w:r w:rsidR="006D7793" w:rsidRPr="00530D27">
        <w:rPr>
          <w:rFonts w:cstheme="minorHAnsi"/>
          <w:b/>
        </w:rPr>
        <w:br/>
      </w:r>
      <w:r w:rsidR="006D7793" w:rsidRPr="00530D27">
        <w:rPr>
          <w:rFonts w:cstheme="minorHAnsi"/>
        </w:rPr>
        <w:t xml:space="preserve">Neben der Verfahrensdokumentation verlangen die GoBD ein internes Kontrollsystem (IKS), welches die Umsetzung der Verfahrensanweisung und damit auch die Einhaltung der GoBD-Vorschriften gewährleisten soll. Das IKS kann dabei –abhängig vom Unternehmen – sehr unterschiedlich ausfallen. Eine feste Struktur ist nicht vorgegeben. Maßstab für ein funktionierendes IKS können dabei z. B. die Größe des Unternehmens, die Komplexität, die Anzahl der beteiligten Personen oder die Organisationsstruktur im Unternehmen sein. </w:t>
      </w:r>
    </w:p>
    <w:p w14:paraId="448E7567" w14:textId="77777777" w:rsidR="00530D27" w:rsidRPr="00530D27" w:rsidRDefault="006D7793" w:rsidP="00530D27">
      <w:pPr>
        <w:rPr>
          <w:rFonts w:cstheme="minorHAnsi"/>
        </w:rPr>
      </w:pPr>
      <w:r w:rsidRPr="00530D27">
        <w:rPr>
          <w:rFonts w:cstheme="minorHAnsi"/>
        </w:rPr>
        <w:t>Das IKS könnte beispielsweise folgende Prozesse regeln:</w:t>
      </w:r>
    </w:p>
    <w:p w14:paraId="3F180862" w14:textId="77777777" w:rsidR="00530D27" w:rsidRPr="00530D27" w:rsidRDefault="006D7793" w:rsidP="00530D27">
      <w:pPr>
        <w:pStyle w:val="Listenabsatz"/>
        <w:numPr>
          <w:ilvl w:val="0"/>
          <w:numId w:val="9"/>
        </w:numPr>
        <w:rPr>
          <w:rFonts w:cstheme="minorHAnsi"/>
        </w:rPr>
      </w:pPr>
      <w:r w:rsidRPr="00530D27">
        <w:rPr>
          <w:rFonts w:cstheme="minorHAnsi"/>
        </w:rPr>
        <w:t>Überwachung der Zugriffe auf das DV-System,</w:t>
      </w:r>
    </w:p>
    <w:p w14:paraId="38D4C6CB" w14:textId="77777777" w:rsidR="00530D27" w:rsidRPr="00530D27" w:rsidRDefault="006D7793" w:rsidP="00530D27">
      <w:pPr>
        <w:pStyle w:val="Listenabsatz"/>
        <w:numPr>
          <w:ilvl w:val="0"/>
          <w:numId w:val="9"/>
        </w:numPr>
        <w:rPr>
          <w:rFonts w:cstheme="minorHAnsi"/>
        </w:rPr>
      </w:pPr>
      <w:r w:rsidRPr="00530D27">
        <w:rPr>
          <w:rFonts w:cstheme="minorHAnsi"/>
        </w:rPr>
        <w:lastRenderedPageBreak/>
        <w:t>Prüfung der Erfassung von digitalen Belegen,</w:t>
      </w:r>
    </w:p>
    <w:p w14:paraId="1AE0FBF1" w14:textId="77777777" w:rsidR="00530D27" w:rsidRPr="00530D27" w:rsidRDefault="006D7793" w:rsidP="00530D27">
      <w:pPr>
        <w:pStyle w:val="Listenabsatz"/>
        <w:numPr>
          <w:ilvl w:val="0"/>
          <w:numId w:val="9"/>
        </w:numPr>
        <w:rPr>
          <w:rFonts w:cstheme="minorHAnsi"/>
        </w:rPr>
      </w:pPr>
      <w:r w:rsidRPr="00530D27">
        <w:rPr>
          <w:rFonts w:cstheme="minorHAnsi"/>
        </w:rPr>
        <w:t>Zeitkontrollen zwischen Erfassung und Verbuchung,</w:t>
      </w:r>
    </w:p>
    <w:p w14:paraId="50629172" w14:textId="77777777" w:rsidR="00530D27" w:rsidRPr="00530D27" w:rsidRDefault="006D7793" w:rsidP="00530D27">
      <w:pPr>
        <w:pStyle w:val="Listenabsatz"/>
        <w:numPr>
          <w:ilvl w:val="0"/>
          <w:numId w:val="9"/>
        </w:numPr>
        <w:rPr>
          <w:rFonts w:cstheme="minorHAnsi"/>
        </w:rPr>
      </w:pPr>
      <w:r w:rsidRPr="00530D27">
        <w:rPr>
          <w:rFonts w:cstheme="minorHAnsi"/>
        </w:rPr>
        <w:t>Überprüfung von Verarbeitungs- oder Abstimmprotokollen,</w:t>
      </w:r>
    </w:p>
    <w:p w14:paraId="77BC0143" w14:textId="2A671A24" w:rsidR="006D7793" w:rsidRPr="00530D27" w:rsidRDefault="006D7793" w:rsidP="00530D27">
      <w:pPr>
        <w:pStyle w:val="Listenabsatz"/>
        <w:numPr>
          <w:ilvl w:val="0"/>
          <w:numId w:val="9"/>
        </w:numPr>
        <w:rPr>
          <w:rFonts w:cstheme="minorHAnsi"/>
        </w:rPr>
      </w:pPr>
      <w:r w:rsidRPr="00530D27">
        <w:rPr>
          <w:rFonts w:cstheme="minorHAnsi"/>
        </w:rPr>
        <w:t>Rücksicherungsprüfung für Daten.</w:t>
      </w:r>
    </w:p>
    <w:p w14:paraId="3BA65C75" w14:textId="2E515F9F" w:rsidR="001D4F5D" w:rsidRPr="00530D27" w:rsidRDefault="001D4F5D" w:rsidP="00A258C8">
      <w:pPr>
        <w:pStyle w:val="AufzhlungPunkt"/>
        <w:numPr>
          <w:ilvl w:val="0"/>
          <w:numId w:val="0"/>
        </w:numPr>
        <w:rPr>
          <w:rFonts w:asciiTheme="minorHAnsi" w:hAnsiTheme="minorHAnsi" w:cstheme="minorHAnsi"/>
          <w:sz w:val="22"/>
          <w:szCs w:val="22"/>
        </w:rPr>
      </w:pPr>
    </w:p>
    <w:p w14:paraId="02CE25BD" w14:textId="16D5EC8A" w:rsidR="00A258C8" w:rsidRPr="00530D27" w:rsidRDefault="00A258C8" w:rsidP="00A258C8">
      <w:pPr>
        <w:pStyle w:val="AufzhlungPunkt"/>
        <w:numPr>
          <w:ilvl w:val="0"/>
          <w:numId w:val="0"/>
        </w:numPr>
        <w:rPr>
          <w:rFonts w:asciiTheme="minorHAnsi" w:hAnsiTheme="minorHAnsi" w:cstheme="minorHAnsi"/>
          <w:sz w:val="22"/>
          <w:szCs w:val="22"/>
        </w:rPr>
      </w:pPr>
      <w:r w:rsidRPr="00530D27">
        <w:rPr>
          <w:rFonts w:asciiTheme="minorHAnsi" w:hAnsiTheme="minorHAnsi" w:cstheme="minorHAnsi"/>
          <w:sz w:val="22"/>
          <w:szCs w:val="22"/>
        </w:rPr>
        <w:t>Tz. 100 ff.</w:t>
      </w:r>
    </w:p>
    <w:p w14:paraId="386835DD" w14:textId="77777777" w:rsidR="006D7793" w:rsidRPr="00530D27" w:rsidRDefault="006D7793" w:rsidP="006D7793">
      <w:pPr>
        <w:pStyle w:val="AufzhlungPunkt"/>
        <w:numPr>
          <w:ilvl w:val="0"/>
          <w:numId w:val="0"/>
        </w:numPr>
        <w:ind w:left="426" w:hanging="284"/>
        <w:rPr>
          <w:rFonts w:asciiTheme="minorHAnsi" w:hAnsiTheme="minorHAnsi" w:cstheme="minorHAnsi"/>
          <w:sz w:val="22"/>
          <w:szCs w:val="22"/>
        </w:rPr>
      </w:pPr>
    </w:p>
    <w:p w14:paraId="4E634F46" w14:textId="77777777" w:rsidR="00900100" w:rsidRPr="00530D27" w:rsidRDefault="006D7793" w:rsidP="006D7793">
      <w:pPr>
        <w:pStyle w:val="AufzhlungPunkt"/>
        <w:numPr>
          <w:ilvl w:val="0"/>
          <w:numId w:val="0"/>
        </w:numPr>
        <w:ind w:left="284" w:hanging="284"/>
        <w:rPr>
          <w:rFonts w:asciiTheme="minorHAnsi" w:hAnsiTheme="minorHAnsi" w:cstheme="minorHAnsi"/>
          <w:i/>
          <w:sz w:val="22"/>
          <w:szCs w:val="22"/>
        </w:rPr>
      </w:pPr>
      <w:r w:rsidRPr="00530D27">
        <w:rPr>
          <w:rFonts w:asciiTheme="minorHAnsi" w:hAnsiTheme="minorHAnsi" w:cstheme="minorHAnsi"/>
          <w:i/>
          <w:sz w:val="22"/>
          <w:szCs w:val="22"/>
        </w:rPr>
        <w:t xml:space="preserve">Datenbank-Tipp: </w:t>
      </w:r>
    </w:p>
    <w:p w14:paraId="02894CF2" w14:textId="52E5204C" w:rsidR="006D7793" w:rsidRPr="00530D27" w:rsidRDefault="006D7793" w:rsidP="006D7793">
      <w:pPr>
        <w:pStyle w:val="AufzhlungPunkt"/>
        <w:numPr>
          <w:ilvl w:val="0"/>
          <w:numId w:val="0"/>
        </w:numPr>
        <w:ind w:left="284" w:hanging="284"/>
        <w:rPr>
          <w:rStyle w:val="VerweisDOI"/>
          <w:rFonts w:asciiTheme="minorHAnsi" w:hAnsiTheme="minorHAnsi" w:cstheme="minorHAnsi"/>
          <w:i/>
          <w:sz w:val="22"/>
          <w:szCs w:val="22"/>
        </w:rPr>
      </w:pPr>
      <w:r w:rsidRPr="00530D27">
        <w:rPr>
          <w:rFonts w:asciiTheme="minorHAnsi" w:hAnsiTheme="minorHAnsi" w:cstheme="minorHAnsi"/>
          <w:i/>
          <w:sz w:val="22"/>
          <w:szCs w:val="22"/>
        </w:rPr>
        <w:t>Wiechers, Internes Kontrollsystem in KMU</w:t>
      </w:r>
      <w:r w:rsidR="00900100" w:rsidRPr="00530D27">
        <w:rPr>
          <w:rFonts w:asciiTheme="minorHAnsi" w:hAnsiTheme="minorHAnsi" w:cstheme="minorHAnsi"/>
          <w:i/>
          <w:sz w:val="22"/>
          <w:szCs w:val="22"/>
        </w:rPr>
        <w:t xml:space="preserve"> einführen, NWB-BB 3/2014 S. 8</w:t>
      </w:r>
      <w:r w:rsidR="00900100" w:rsidRPr="00530D27">
        <w:rPr>
          <w:rFonts w:asciiTheme="minorHAnsi" w:hAnsiTheme="minorHAnsi" w:cstheme="minorHAnsi"/>
          <w:i/>
          <w:color w:val="auto"/>
          <w:sz w:val="22"/>
          <w:szCs w:val="22"/>
        </w:rPr>
        <w:t xml:space="preserve">0 </w:t>
      </w:r>
      <w:r w:rsidRPr="00530D27">
        <w:rPr>
          <w:rStyle w:val="VerweisDOI"/>
          <w:rFonts w:asciiTheme="minorHAnsi" w:hAnsiTheme="minorHAnsi" w:cstheme="minorHAnsi"/>
          <w:i/>
          <w:color w:val="auto"/>
          <w:sz w:val="22"/>
          <w:szCs w:val="22"/>
        </w:rPr>
        <w:t>VAAAE-55675</w:t>
      </w:r>
      <w:r w:rsidRPr="00530D27">
        <w:rPr>
          <w:rStyle w:val="VerweisDOI"/>
          <w:rFonts w:asciiTheme="minorHAnsi" w:hAnsiTheme="minorHAnsi" w:cstheme="minorHAnsi"/>
          <w:i/>
          <w:sz w:val="22"/>
          <w:szCs w:val="22"/>
        </w:rPr>
        <w:t xml:space="preserve"> </w:t>
      </w:r>
    </w:p>
    <w:p w14:paraId="499291A1" w14:textId="7B21859F" w:rsidR="00C350BF" w:rsidRPr="00530D27" w:rsidRDefault="006D7793" w:rsidP="005744F0">
      <w:pPr>
        <w:spacing w:before="360"/>
        <w:rPr>
          <w:rFonts w:cstheme="minorHAnsi"/>
        </w:rPr>
      </w:pPr>
      <w:r w:rsidRPr="00530D27">
        <w:rPr>
          <w:rFonts w:cstheme="minorHAnsi"/>
          <w:b/>
        </w:rPr>
        <w:t xml:space="preserve">Zu </w:t>
      </w:r>
      <w:r w:rsidR="006A2FCE" w:rsidRPr="00530D27">
        <w:rPr>
          <w:rFonts w:cstheme="minorHAnsi"/>
          <w:b/>
        </w:rPr>
        <w:t>Frage 1</w:t>
      </w:r>
      <w:r w:rsidR="009C68D8" w:rsidRPr="00530D27">
        <w:rPr>
          <w:rFonts w:cstheme="minorHAnsi"/>
          <w:b/>
        </w:rPr>
        <w:t>3</w:t>
      </w:r>
      <w:r w:rsidRPr="00530D27">
        <w:rPr>
          <w:rFonts w:cstheme="minorHAnsi"/>
          <w:b/>
        </w:rPr>
        <w:br/>
      </w:r>
      <w:r w:rsidRPr="00530D27">
        <w:rPr>
          <w:rFonts w:cstheme="minorHAnsi"/>
        </w:rPr>
        <w:t>Diese Frage dient der Sensibilisierung des Unternehmers. Private und betriebliche Daten sind strikt zu trennen, damit der Prüfer nicht „aus Versehen“ Zugang zu privaten Daten bekommt. Dies gilt auch für Firmenhandys, Laptops, Tablets – und zwar auch aller Angestellten. Besondere Aufmerksamkeit sollte hier auch den „betrieblichen“ E-Mails gewidmet werden, in denen sich häufiger auch „private Anmerkungen“ zwischen Angestellten finden. Hier hat es sich in der Praxis als hilfreich erweisen, die Mitarbeiter durch entsprechende Schulungen zu sensibilisieren.</w:t>
      </w:r>
    </w:p>
    <w:p w14:paraId="56FDF82B" w14:textId="3F49EAED" w:rsidR="006779B9" w:rsidRPr="00530D27" w:rsidRDefault="006779B9" w:rsidP="005744F0">
      <w:pPr>
        <w:spacing w:before="360"/>
        <w:rPr>
          <w:rFonts w:cstheme="minorHAnsi"/>
        </w:rPr>
      </w:pPr>
      <w:r w:rsidRPr="00530D27">
        <w:rPr>
          <w:rFonts w:cstheme="minorHAnsi"/>
          <w:b/>
        </w:rPr>
        <w:t>Zu Frage 1</w:t>
      </w:r>
      <w:r w:rsidR="009C68D8" w:rsidRPr="00530D27">
        <w:rPr>
          <w:rFonts w:cstheme="minorHAnsi"/>
          <w:b/>
        </w:rPr>
        <w:t>4</w:t>
      </w:r>
      <w:r w:rsidRPr="00530D27">
        <w:rPr>
          <w:rFonts w:cstheme="minorHAnsi"/>
          <w:b/>
        </w:rPr>
        <w:br/>
      </w:r>
      <w:r w:rsidR="00F81A4A" w:rsidRPr="00530D27">
        <w:rPr>
          <w:rFonts w:cstheme="minorHAnsi"/>
        </w:rPr>
        <w:t xml:space="preserve">Die Finanzbehörde hat das Recht, die mit Hilfe eines DV-Systems erstellten und aufbewahrungspflichtigen Unterlagen durch Datenzugriff zu prüfen. </w:t>
      </w:r>
      <w:r w:rsidR="00B829C9" w:rsidRPr="00530D27">
        <w:rPr>
          <w:rFonts w:cstheme="minorHAnsi"/>
        </w:rPr>
        <w:t>Die Prüfung kann durch unmittelbaren Daten</w:t>
      </w:r>
      <w:r w:rsidR="00D00AFE" w:rsidRPr="00530D27">
        <w:rPr>
          <w:rFonts w:cstheme="minorHAnsi"/>
        </w:rPr>
        <w:t>zugriff (Z1)</w:t>
      </w:r>
      <w:r w:rsidR="00ED1F46" w:rsidRPr="00530D27">
        <w:rPr>
          <w:rFonts w:cstheme="minorHAnsi"/>
        </w:rPr>
        <w:t>, mittelbaren Datenzugriff (Z2) oder Datenträgerüberlassung erfolgen (Z3). Je nach Unternehmensgröße empfiehlt sich ein „Prüfer-PC“ im Unternehmen</w:t>
      </w:r>
      <w:r w:rsidR="005E4F8F" w:rsidRPr="00530D27">
        <w:rPr>
          <w:rFonts w:cstheme="minorHAnsi"/>
        </w:rPr>
        <w:t>, der beispielsweise nur Leserechte hat oder Tätigkeiten des Prüfers aufzeichnet.</w:t>
      </w:r>
      <w:r w:rsidR="00022CDB" w:rsidRPr="00530D27">
        <w:rPr>
          <w:rFonts w:cstheme="minorHAnsi"/>
        </w:rPr>
        <w:t xml:space="preserve"> Auch Betriebsgeheimnisse</w:t>
      </w:r>
      <w:r w:rsidR="00955924" w:rsidRPr="00530D27">
        <w:rPr>
          <w:rFonts w:cstheme="minorHAnsi"/>
        </w:rPr>
        <w:t xml:space="preserve"> oder sensible Mitarbeiter- bzw. Kundendaten</w:t>
      </w:r>
      <w:r w:rsidR="00022CDB" w:rsidRPr="00530D27">
        <w:rPr>
          <w:rFonts w:cstheme="minorHAnsi"/>
        </w:rPr>
        <w:t xml:space="preserve"> können </w:t>
      </w:r>
      <w:r w:rsidR="00365A82" w:rsidRPr="00530D27">
        <w:rPr>
          <w:rFonts w:cstheme="minorHAnsi"/>
        </w:rPr>
        <w:t xml:space="preserve">unter Umständen </w:t>
      </w:r>
      <w:r w:rsidR="00022CDB" w:rsidRPr="00530D27">
        <w:rPr>
          <w:rFonts w:cstheme="minorHAnsi"/>
        </w:rPr>
        <w:t>durch Zugriffsbeschränkungen (zunächst) besser geschützt werden.</w:t>
      </w:r>
      <w:r w:rsidR="008D31B0" w:rsidRPr="00530D27">
        <w:rPr>
          <w:rFonts w:cstheme="minorHAnsi"/>
        </w:rPr>
        <w:br/>
      </w:r>
      <w:r w:rsidR="008D31B0" w:rsidRPr="00530D27">
        <w:rPr>
          <w:rFonts w:cstheme="minorHAnsi"/>
        </w:rPr>
        <w:br/>
        <w:t>Tz. 159 ff.</w:t>
      </w:r>
    </w:p>
    <w:p w14:paraId="4C281AEC" w14:textId="77777777" w:rsidR="008838D2" w:rsidRDefault="008838D2" w:rsidP="005744F0">
      <w:pPr>
        <w:spacing w:before="360"/>
        <w:rPr>
          <w:rFonts w:ascii="Arial" w:hAnsi="Arial" w:cs="Arial"/>
          <w:sz w:val="20"/>
          <w:szCs w:val="20"/>
        </w:rPr>
      </w:pPr>
    </w:p>
    <w:p w14:paraId="46C3885D" w14:textId="77777777" w:rsidR="00707498" w:rsidRPr="00C350BF" w:rsidRDefault="00707498" w:rsidP="005744F0">
      <w:pPr>
        <w:spacing w:before="360"/>
        <w:rPr>
          <w:b/>
        </w:rPr>
      </w:pPr>
    </w:p>
    <w:sectPr w:rsidR="00707498" w:rsidRPr="00C350B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D8F7" w14:textId="77777777" w:rsidR="00470836" w:rsidRDefault="00470836" w:rsidP="005C66C2">
      <w:pPr>
        <w:spacing w:after="0" w:line="240" w:lineRule="auto"/>
      </w:pPr>
      <w:r>
        <w:separator/>
      </w:r>
    </w:p>
  </w:endnote>
  <w:endnote w:type="continuationSeparator" w:id="0">
    <w:p w14:paraId="79BF6958" w14:textId="77777777" w:rsidR="00470836" w:rsidRDefault="00470836" w:rsidP="005C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ExtraBold-Expert">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B5 Plain">
    <w:panose1 w:val="00000000000000000000"/>
    <w:charset w:val="00"/>
    <w:family w:val="swiss"/>
    <w:notTrueType/>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29E2" w14:textId="2142533E" w:rsidR="0030644E" w:rsidRPr="00530D27" w:rsidRDefault="00530D27" w:rsidP="0030644E">
    <w:pPr>
      <w:pStyle w:val="Fuzeile"/>
      <w:tabs>
        <w:tab w:val="clear" w:pos="4536"/>
        <w:tab w:val="clear" w:pos="9072"/>
        <w:tab w:val="left" w:pos="5670"/>
        <w:tab w:val="left" w:pos="7371"/>
      </w:tabs>
      <w:jc w:val="right"/>
      <w:rPr>
        <w:rFonts w:cstheme="minorHAnsi"/>
      </w:rPr>
    </w:pPr>
    <w:r w:rsidRPr="00530D27">
      <w:rPr>
        <w:rFonts w:cstheme="minorHAnsi"/>
      </w:rPr>
      <w:t xml:space="preserve">NWB </w:t>
    </w:r>
    <w:r w:rsidR="0030644E" w:rsidRPr="00530D27">
      <w:rPr>
        <w:rFonts w:cstheme="minorHAnsi"/>
      </w:rPr>
      <w:t>HAAAF-83999</w:t>
    </w:r>
    <w:r w:rsidR="0030644E" w:rsidRPr="00530D27">
      <w:rPr>
        <w:rFonts w:cstheme="minorHAnsi"/>
      </w:rPr>
      <w:tab/>
      <w:t xml:space="preserve">Seite </w:t>
    </w:r>
    <w:r w:rsidR="0030644E" w:rsidRPr="00530D27">
      <w:rPr>
        <w:rStyle w:val="Seitenzahl"/>
        <w:rFonts w:cstheme="minorHAnsi"/>
      </w:rPr>
      <w:fldChar w:fldCharType="begin"/>
    </w:r>
    <w:r w:rsidR="0030644E" w:rsidRPr="00530D27">
      <w:rPr>
        <w:rStyle w:val="Seitenzahl"/>
        <w:rFonts w:cstheme="minorHAnsi"/>
      </w:rPr>
      <w:instrText xml:space="preserve"> PAGE </w:instrText>
    </w:r>
    <w:r w:rsidR="0030644E" w:rsidRPr="00530D27">
      <w:rPr>
        <w:rStyle w:val="Seitenzahl"/>
        <w:rFonts w:cstheme="minorHAnsi"/>
      </w:rPr>
      <w:fldChar w:fldCharType="separate"/>
    </w:r>
    <w:r w:rsidR="00900100" w:rsidRPr="00530D27">
      <w:rPr>
        <w:rStyle w:val="Seitenzahl"/>
        <w:rFonts w:cstheme="minorHAnsi"/>
        <w:noProof/>
      </w:rPr>
      <w:t>4</w:t>
    </w:r>
    <w:r w:rsidR="0030644E" w:rsidRPr="00530D27">
      <w:rPr>
        <w:rStyle w:val="Seitenzahl"/>
        <w:rFonts w:cstheme="minorHAnsi"/>
      </w:rPr>
      <w:fldChar w:fldCharType="end"/>
    </w:r>
    <w:r w:rsidR="0030644E" w:rsidRPr="00530D27">
      <w:rPr>
        <w:rStyle w:val="Seitenzahl"/>
        <w:rFonts w:cstheme="minorHAnsi"/>
      </w:rPr>
      <w:t xml:space="preserve"> von </w:t>
    </w:r>
    <w:r w:rsidR="0030644E" w:rsidRPr="00530D27">
      <w:rPr>
        <w:rStyle w:val="Seitenzahl"/>
        <w:rFonts w:cstheme="minorHAnsi"/>
      </w:rPr>
      <w:fldChar w:fldCharType="begin"/>
    </w:r>
    <w:r w:rsidR="0030644E" w:rsidRPr="00530D27">
      <w:rPr>
        <w:rStyle w:val="Seitenzahl"/>
        <w:rFonts w:cstheme="minorHAnsi"/>
      </w:rPr>
      <w:instrText xml:space="preserve"> NUMPAGES </w:instrText>
    </w:r>
    <w:r w:rsidR="0030644E" w:rsidRPr="00530D27">
      <w:rPr>
        <w:rStyle w:val="Seitenzahl"/>
        <w:rFonts w:cstheme="minorHAnsi"/>
      </w:rPr>
      <w:fldChar w:fldCharType="separate"/>
    </w:r>
    <w:r w:rsidR="00900100" w:rsidRPr="00530D27">
      <w:rPr>
        <w:rStyle w:val="Seitenzahl"/>
        <w:rFonts w:cstheme="minorHAnsi"/>
        <w:noProof/>
      </w:rPr>
      <w:t>4</w:t>
    </w:r>
    <w:r w:rsidR="0030644E" w:rsidRPr="00530D27">
      <w:rPr>
        <w:rStyle w:val="Seitenzahl"/>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E789" w14:textId="77777777" w:rsidR="00470836" w:rsidRDefault="00470836" w:rsidP="005C66C2">
      <w:pPr>
        <w:spacing w:after="0" w:line="240" w:lineRule="auto"/>
      </w:pPr>
      <w:r>
        <w:separator/>
      </w:r>
    </w:p>
  </w:footnote>
  <w:footnote w:type="continuationSeparator" w:id="0">
    <w:p w14:paraId="44778E07" w14:textId="77777777" w:rsidR="00470836" w:rsidRDefault="00470836" w:rsidP="005C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3D55" w14:textId="6908A14B" w:rsidR="0030644E" w:rsidRDefault="00DB171E">
    <w:pPr>
      <w:pStyle w:val="Kopfzeile"/>
    </w:pPr>
    <w:r w:rsidRPr="003D307A">
      <w:rPr>
        <w:noProof/>
      </w:rPr>
      <w:drawing>
        <wp:inline distT="0" distB="0" distL="0" distR="0" wp14:anchorId="0B2097D6" wp14:editId="7C6D9B32">
          <wp:extent cx="5737860" cy="22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442"/>
    <w:multiLevelType w:val="hybridMultilevel"/>
    <w:tmpl w:val="72244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4F2EF7"/>
    <w:multiLevelType w:val="hybridMultilevel"/>
    <w:tmpl w:val="E0FCC860"/>
    <w:lvl w:ilvl="0" w:tplc="EE4C747A">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283A7284"/>
    <w:multiLevelType w:val="hybridMultilevel"/>
    <w:tmpl w:val="ED80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D5E59"/>
    <w:multiLevelType w:val="hybridMultilevel"/>
    <w:tmpl w:val="6898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24190"/>
    <w:multiLevelType w:val="hybridMultilevel"/>
    <w:tmpl w:val="F894DBAE"/>
    <w:lvl w:ilvl="0" w:tplc="7ADE021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6E1DF3"/>
    <w:multiLevelType w:val="hybridMultilevel"/>
    <w:tmpl w:val="A5BA574E"/>
    <w:lvl w:ilvl="0" w:tplc="1DF0C622">
      <w:start w:val="1"/>
      <w:numFmt w:val="bullet"/>
      <w:lvlRestart w:val="0"/>
      <w:pStyle w:val="AufzhlungPunkt"/>
      <w:lvlText w:val="ÿ"/>
      <w:lvlJc w:val="left"/>
      <w:pPr>
        <w:tabs>
          <w:tab w:val="num" w:pos="426"/>
        </w:tabs>
        <w:ind w:left="426" w:hanging="284"/>
      </w:pPr>
      <w:rPr>
        <w:rFonts w:ascii="TheSansExtraBold-Expert" w:hAnsi="TheSansExtraBold-Expert"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26ABE"/>
    <w:multiLevelType w:val="hybridMultilevel"/>
    <w:tmpl w:val="A0926812"/>
    <w:lvl w:ilvl="0" w:tplc="EE4C747A">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61F0B"/>
    <w:multiLevelType w:val="hybridMultilevel"/>
    <w:tmpl w:val="6494046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FE51DB"/>
    <w:multiLevelType w:val="hybridMultilevel"/>
    <w:tmpl w:val="B7A0F794"/>
    <w:lvl w:ilvl="0" w:tplc="1C6EE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097D99"/>
    <w:multiLevelType w:val="hybridMultilevel"/>
    <w:tmpl w:val="36A232C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6D6EBF"/>
    <w:multiLevelType w:val="hybridMultilevel"/>
    <w:tmpl w:val="ABF0C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4"/>
  </w:num>
  <w:num w:numId="6">
    <w:abstractNumId w:val="9"/>
  </w:num>
  <w:num w:numId="7">
    <w:abstractNumId w:val="7"/>
  </w:num>
  <w:num w:numId="8">
    <w:abstractNumId w:val="5"/>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4D"/>
    <w:rsid w:val="000207E4"/>
    <w:rsid w:val="00022CDB"/>
    <w:rsid w:val="00081B4F"/>
    <w:rsid w:val="000B0015"/>
    <w:rsid w:val="00100B5D"/>
    <w:rsid w:val="00143ABD"/>
    <w:rsid w:val="00153105"/>
    <w:rsid w:val="00160898"/>
    <w:rsid w:val="0016600B"/>
    <w:rsid w:val="00166B99"/>
    <w:rsid w:val="00167CE8"/>
    <w:rsid w:val="00177130"/>
    <w:rsid w:val="0018152B"/>
    <w:rsid w:val="001914A4"/>
    <w:rsid w:val="001B5929"/>
    <w:rsid w:val="001D4F5D"/>
    <w:rsid w:val="001E331E"/>
    <w:rsid w:val="001F57A8"/>
    <w:rsid w:val="00203B9B"/>
    <w:rsid w:val="0020626D"/>
    <w:rsid w:val="0025067C"/>
    <w:rsid w:val="00252F82"/>
    <w:rsid w:val="0025628A"/>
    <w:rsid w:val="0029397C"/>
    <w:rsid w:val="002D0090"/>
    <w:rsid w:val="00304B7F"/>
    <w:rsid w:val="0030644E"/>
    <w:rsid w:val="00324E75"/>
    <w:rsid w:val="003351DA"/>
    <w:rsid w:val="00351686"/>
    <w:rsid w:val="00365A82"/>
    <w:rsid w:val="003A66F6"/>
    <w:rsid w:val="003B6515"/>
    <w:rsid w:val="003C77A9"/>
    <w:rsid w:val="003D4473"/>
    <w:rsid w:val="004317F5"/>
    <w:rsid w:val="004319E4"/>
    <w:rsid w:val="00470836"/>
    <w:rsid w:val="004C4D52"/>
    <w:rsid w:val="004D0D68"/>
    <w:rsid w:val="004D2195"/>
    <w:rsid w:val="004F4DB8"/>
    <w:rsid w:val="004F6104"/>
    <w:rsid w:val="004F625F"/>
    <w:rsid w:val="004F7394"/>
    <w:rsid w:val="00523996"/>
    <w:rsid w:val="00530D27"/>
    <w:rsid w:val="005544BA"/>
    <w:rsid w:val="00565014"/>
    <w:rsid w:val="0056664E"/>
    <w:rsid w:val="005744F0"/>
    <w:rsid w:val="00574A37"/>
    <w:rsid w:val="005942B5"/>
    <w:rsid w:val="0059523A"/>
    <w:rsid w:val="005A1C93"/>
    <w:rsid w:val="005C1528"/>
    <w:rsid w:val="005C1A60"/>
    <w:rsid w:val="005C3727"/>
    <w:rsid w:val="005C66C2"/>
    <w:rsid w:val="005C770E"/>
    <w:rsid w:val="005D61F0"/>
    <w:rsid w:val="005E1E8D"/>
    <w:rsid w:val="005E4F8F"/>
    <w:rsid w:val="005F186D"/>
    <w:rsid w:val="005F25B8"/>
    <w:rsid w:val="005F7505"/>
    <w:rsid w:val="006457E3"/>
    <w:rsid w:val="006763F0"/>
    <w:rsid w:val="006779B9"/>
    <w:rsid w:val="006A2FCE"/>
    <w:rsid w:val="006C1BF4"/>
    <w:rsid w:val="006D1463"/>
    <w:rsid w:val="006D2796"/>
    <w:rsid w:val="006D7793"/>
    <w:rsid w:val="00707498"/>
    <w:rsid w:val="007154DD"/>
    <w:rsid w:val="00751048"/>
    <w:rsid w:val="00760DE4"/>
    <w:rsid w:val="007F3A18"/>
    <w:rsid w:val="00880F4D"/>
    <w:rsid w:val="00883035"/>
    <w:rsid w:val="008838D2"/>
    <w:rsid w:val="008D31B0"/>
    <w:rsid w:val="008E1C7B"/>
    <w:rsid w:val="008F4027"/>
    <w:rsid w:val="00900100"/>
    <w:rsid w:val="00932301"/>
    <w:rsid w:val="00942891"/>
    <w:rsid w:val="00955924"/>
    <w:rsid w:val="009645A9"/>
    <w:rsid w:val="009B18A5"/>
    <w:rsid w:val="009C68D8"/>
    <w:rsid w:val="00A258C8"/>
    <w:rsid w:val="00A442C8"/>
    <w:rsid w:val="00A44326"/>
    <w:rsid w:val="00A70EC3"/>
    <w:rsid w:val="00A72D4D"/>
    <w:rsid w:val="00AC52E2"/>
    <w:rsid w:val="00AD39DC"/>
    <w:rsid w:val="00AD6883"/>
    <w:rsid w:val="00AF7079"/>
    <w:rsid w:val="00B00642"/>
    <w:rsid w:val="00B078F4"/>
    <w:rsid w:val="00B31064"/>
    <w:rsid w:val="00B64017"/>
    <w:rsid w:val="00B75D6F"/>
    <w:rsid w:val="00B7734A"/>
    <w:rsid w:val="00B829C9"/>
    <w:rsid w:val="00B86E68"/>
    <w:rsid w:val="00BB6E2C"/>
    <w:rsid w:val="00BF408A"/>
    <w:rsid w:val="00C107EF"/>
    <w:rsid w:val="00C2001A"/>
    <w:rsid w:val="00C21257"/>
    <w:rsid w:val="00C350BF"/>
    <w:rsid w:val="00C46FE5"/>
    <w:rsid w:val="00C6437B"/>
    <w:rsid w:val="00CE4904"/>
    <w:rsid w:val="00D00AFE"/>
    <w:rsid w:val="00D12D4D"/>
    <w:rsid w:val="00D501ED"/>
    <w:rsid w:val="00D84A42"/>
    <w:rsid w:val="00DA06A7"/>
    <w:rsid w:val="00DB041C"/>
    <w:rsid w:val="00DB171E"/>
    <w:rsid w:val="00DB3172"/>
    <w:rsid w:val="00DC7EDC"/>
    <w:rsid w:val="00DE45DB"/>
    <w:rsid w:val="00E15032"/>
    <w:rsid w:val="00E223F2"/>
    <w:rsid w:val="00E620F4"/>
    <w:rsid w:val="00E63C1F"/>
    <w:rsid w:val="00E81254"/>
    <w:rsid w:val="00E90332"/>
    <w:rsid w:val="00ED1F46"/>
    <w:rsid w:val="00ED272F"/>
    <w:rsid w:val="00ED570E"/>
    <w:rsid w:val="00EF4795"/>
    <w:rsid w:val="00F05D77"/>
    <w:rsid w:val="00F2210F"/>
    <w:rsid w:val="00F4386D"/>
    <w:rsid w:val="00F81A4A"/>
    <w:rsid w:val="00F81EA9"/>
    <w:rsid w:val="00F9412B"/>
    <w:rsid w:val="00F970D8"/>
    <w:rsid w:val="00FB02B1"/>
    <w:rsid w:val="00FD4E1B"/>
    <w:rsid w:val="00FD4E4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6BDD7"/>
  <w15:docId w15:val="{3D1C0579-C540-4530-A6E3-2557601B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2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1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F4D"/>
    <w:rPr>
      <w:color w:val="0563C1" w:themeColor="hyperlink"/>
      <w:u w:val="single"/>
    </w:rPr>
  </w:style>
  <w:style w:type="table" w:styleId="Tabellenraster">
    <w:name w:val="Table Grid"/>
    <w:basedOn w:val="NormaleTabelle"/>
    <w:uiPriority w:val="39"/>
    <w:rsid w:val="0076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C66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66C2"/>
    <w:rPr>
      <w:sz w:val="20"/>
      <w:szCs w:val="20"/>
    </w:rPr>
  </w:style>
  <w:style w:type="character" w:styleId="Funotenzeichen">
    <w:name w:val="footnote reference"/>
    <w:basedOn w:val="Absatz-Standardschriftart"/>
    <w:uiPriority w:val="99"/>
    <w:semiHidden/>
    <w:unhideWhenUsed/>
    <w:rsid w:val="005C66C2"/>
    <w:rPr>
      <w:vertAlign w:val="superscript"/>
    </w:rPr>
  </w:style>
  <w:style w:type="character" w:customStyle="1" w:styleId="berschrift2Zchn">
    <w:name w:val="Überschrift 2 Zchn"/>
    <w:basedOn w:val="Absatz-Standardschriftart"/>
    <w:link w:val="berschrift2"/>
    <w:uiPriority w:val="9"/>
    <w:rsid w:val="005C1528"/>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6457E3"/>
    <w:pPr>
      <w:spacing w:after="200" w:line="276" w:lineRule="auto"/>
      <w:ind w:left="720"/>
      <w:contextualSpacing/>
    </w:pPr>
    <w:rPr>
      <w:rFonts w:eastAsia="Times New Roman" w:cs="Times New Roman"/>
    </w:rPr>
  </w:style>
  <w:style w:type="character" w:customStyle="1" w:styleId="berschrift1Zchn">
    <w:name w:val="Überschrift 1 Zchn"/>
    <w:basedOn w:val="Absatz-Standardschriftart"/>
    <w:link w:val="berschrift1"/>
    <w:uiPriority w:val="9"/>
    <w:rsid w:val="00E223F2"/>
    <w:rPr>
      <w:rFonts w:asciiTheme="majorHAnsi" w:eastAsiaTheme="majorEastAsia" w:hAnsiTheme="majorHAnsi" w:cstheme="majorBidi"/>
      <w:color w:val="2E74B5" w:themeColor="accent1" w:themeShade="BF"/>
      <w:sz w:val="32"/>
      <w:szCs w:val="32"/>
    </w:rPr>
  </w:style>
  <w:style w:type="paragraph" w:customStyle="1" w:styleId="AufzhlungPunkt">
    <w:name w:val="Aufzählung/Punkt"/>
    <w:basedOn w:val="Standard"/>
    <w:rsid w:val="007F3A18"/>
    <w:pPr>
      <w:numPr>
        <w:numId w:val="8"/>
      </w:numPr>
      <w:spacing w:after="60" w:line="240" w:lineRule="exact"/>
      <w:jc w:val="both"/>
    </w:pPr>
    <w:rPr>
      <w:rFonts w:ascii="TheSans B5 Plain" w:eastAsia="Times New Roman" w:hAnsi="TheSans B5 Plain" w:cs="Times New Roman"/>
      <w:color w:val="000000"/>
      <w:spacing w:val="-2"/>
      <w:sz w:val="19"/>
      <w:szCs w:val="20"/>
      <w:lang w:eastAsia="de-DE"/>
    </w:rPr>
  </w:style>
  <w:style w:type="character" w:customStyle="1" w:styleId="VerweisDOI">
    <w:name w:val="Verweis DOI"/>
    <w:basedOn w:val="Absatz-Standardschriftart"/>
    <w:rsid w:val="007F3A18"/>
    <w:rPr>
      <w:color w:val="FF0000"/>
    </w:rPr>
  </w:style>
  <w:style w:type="paragraph" w:customStyle="1" w:styleId="Marginalie">
    <w:name w:val="Marginalie"/>
    <w:basedOn w:val="Standard"/>
    <w:rsid w:val="007F3A18"/>
    <w:pPr>
      <w:pBdr>
        <w:top w:val="single" w:sz="4" w:space="3" w:color="auto"/>
        <w:bottom w:val="single" w:sz="4" w:space="3" w:color="auto"/>
      </w:pBdr>
      <w:spacing w:before="60" w:after="60" w:line="240" w:lineRule="exact"/>
      <w:ind w:left="397" w:hanging="397"/>
      <w:jc w:val="both"/>
    </w:pPr>
    <w:rPr>
      <w:rFonts w:ascii="Arial Narrow" w:eastAsia="Times New Roman" w:hAnsi="Arial Narrow" w:cs="Times New Roman"/>
      <w:bCs/>
      <w:color w:val="000000"/>
      <w:spacing w:val="-2"/>
      <w:sz w:val="17"/>
      <w:szCs w:val="20"/>
      <w:lang w:eastAsia="de-DE"/>
    </w:rPr>
  </w:style>
  <w:style w:type="paragraph" w:styleId="Kopfzeile">
    <w:name w:val="header"/>
    <w:basedOn w:val="Standard"/>
    <w:link w:val="KopfzeileZchn"/>
    <w:uiPriority w:val="99"/>
    <w:unhideWhenUsed/>
    <w:rsid w:val="00306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44E"/>
  </w:style>
  <w:style w:type="paragraph" w:styleId="Fuzeile">
    <w:name w:val="footer"/>
    <w:basedOn w:val="Standard"/>
    <w:link w:val="FuzeileZchn"/>
    <w:unhideWhenUsed/>
    <w:rsid w:val="00306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44E"/>
  </w:style>
  <w:style w:type="character" w:styleId="Seitenzahl">
    <w:name w:val="page number"/>
    <w:basedOn w:val="Absatz-Standardschriftart"/>
    <w:rsid w:val="0030644E"/>
  </w:style>
  <w:style w:type="paragraph" w:styleId="Endnotentext">
    <w:name w:val="endnote text"/>
    <w:basedOn w:val="Standard"/>
    <w:link w:val="EndnotentextZchn"/>
    <w:uiPriority w:val="99"/>
    <w:rsid w:val="00530D27"/>
    <w:pPr>
      <w:widowControl w:val="0"/>
      <w:autoSpaceDE w:val="0"/>
      <w:autoSpaceDN w:val="0"/>
      <w:adjustRightInd w:val="0"/>
      <w:spacing w:after="0" w:line="240" w:lineRule="auto"/>
    </w:pPr>
    <w:rPr>
      <w:rFonts w:ascii="Arial" w:eastAsiaTheme="minorEastAsia" w:hAnsi="Arial" w:cs="Arial"/>
      <w:sz w:val="20"/>
      <w:szCs w:val="20"/>
      <w:lang w:eastAsia="de-DE"/>
    </w:rPr>
  </w:style>
  <w:style w:type="character" w:customStyle="1" w:styleId="EndnotentextZchn">
    <w:name w:val="Endnotentext Zchn"/>
    <w:basedOn w:val="Absatz-Standardschriftart"/>
    <w:link w:val="Endnotentext"/>
    <w:uiPriority w:val="99"/>
    <w:rsid w:val="00530D27"/>
    <w:rPr>
      <w:rFonts w:ascii="Arial" w:eastAsiaTheme="minorEastAsia"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272AC-32F0-4D6B-A649-DBA9D85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15F4EE66.dotm</Template>
  <TotalTime>0</TotalTime>
  <Pages>6</Pages>
  <Words>1674</Words>
  <Characters>10550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NWB</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Welper</dc:creator>
  <cp:lastModifiedBy>Duwe, Thomas</cp:lastModifiedBy>
  <cp:revision>2</cp:revision>
  <dcterms:created xsi:type="dcterms:W3CDTF">2021-06-17T11:27:00Z</dcterms:created>
  <dcterms:modified xsi:type="dcterms:W3CDTF">2021-06-17T11:27:00Z</dcterms:modified>
</cp:coreProperties>
</file>